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AB" w:rsidRPr="009C2EFB" w:rsidRDefault="000652AB" w:rsidP="00376E7D">
      <w:pPr>
        <w:adjustRightInd w:val="0"/>
        <w:snapToGrid w:val="0"/>
        <w:spacing w:line="348" w:lineRule="auto"/>
        <w:rPr>
          <w:rFonts w:ascii="黑体" w:eastAsia="黑体"/>
          <w:color w:val="000000"/>
          <w:sz w:val="28"/>
          <w:szCs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证券简称：铜峰电子</w:t>
      </w:r>
      <w:r>
        <w:rPr>
          <w:rFonts w:ascii="黑体" w:eastAsia="黑体"/>
          <w:sz w:val="28"/>
        </w:rPr>
        <w:t xml:space="preserve">    </w:t>
      </w:r>
      <w:r>
        <w:rPr>
          <w:rFonts w:ascii="黑体" w:eastAsia="黑体" w:hint="eastAsia"/>
          <w:sz w:val="28"/>
        </w:rPr>
        <w:t>编号：临</w:t>
      </w:r>
      <w:r w:rsidRPr="009C2EFB">
        <w:rPr>
          <w:rFonts w:ascii="黑体" w:eastAsia="黑体" w:hint="eastAsia"/>
          <w:color w:val="000000"/>
          <w:sz w:val="28"/>
          <w:szCs w:val="28"/>
        </w:rPr>
        <w:t>201</w:t>
      </w:r>
      <w:r>
        <w:rPr>
          <w:rFonts w:ascii="黑体" w:eastAsia="黑体" w:hint="eastAsia"/>
          <w:color w:val="000000"/>
          <w:sz w:val="28"/>
          <w:szCs w:val="28"/>
        </w:rPr>
        <w:t>7</w:t>
      </w:r>
      <w:r w:rsidRPr="009C2EFB">
        <w:rPr>
          <w:rFonts w:ascii="黑体" w:eastAsia="黑体" w:hint="eastAsia"/>
          <w:color w:val="000000"/>
          <w:sz w:val="28"/>
          <w:szCs w:val="28"/>
        </w:rPr>
        <w:t>-</w:t>
      </w:r>
      <w:r>
        <w:rPr>
          <w:rFonts w:ascii="黑体" w:eastAsia="黑体" w:hint="eastAsia"/>
          <w:color w:val="000000"/>
          <w:sz w:val="28"/>
          <w:szCs w:val="28"/>
        </w:rPr>
        <w:t>019</w:t>
      </w:r>
    </w:p>
    <w:p w:rsidR="000652AB" w:rsidRPr="002664D8" w:rsidRDefault="000652AB" w:rsidP="00376E7D">
      <w:pPr>
        <w:pStyle w:val="Default"/>
        <w:snapToGrid w:val="0"/>
        <w:spacing w:line="348" w:lineRule="auto"/>
        <w:rPr>
          <w:rFonts w:asciiTheme="minorEastAsia" w:eastAsiaTheme="minorEastAsia" w:hAnsiTheme="minorEastAsia"/>
        </w:rPr>
      </w:pPr>
    </w:p>
    <w:p w:rsidR="000652AB" w:rsidRPr="002664D8" w:rsidRDefault="000652AB" w:rsidP="00376E7D">
      <w:pPr>
        <w:pStyle w:val="Default"/>
        <w:snapToGrid w:val="0"/>
        <w:spacing w:line="348" w:lineRule="auto"/>
        <w:jc w:val="center"/>
        <w:rPr>
          <w:sz w:val="36"/>
          <w:szCs w:val="36"/>
        </w:rPr>
      </w:pPr>
      <w:r w:rsidRPr="002664D8">
        <w:rPr>
          <w:rFonts w:hint="eastAsia"/>
          <w:sz w:val="36"/>
          <w:szCs w:val="36"/>
        </w:rPr>
        <w:t>安徽铜峰电子股份有限公司</w:t>
      </w:r>
      <w:r w:rsidRPr="000652AB">
        <w:rPr>
          <w:rFonts w:hint="eastAsia"/>
          <w:sz w:val="36"/>
          <w:szCs w:val="36"/>
        </w:rPr>
        <w:t>关于上海证券交易所对公司</w:t>
      </w:r>
      <w:r w:rsidRPr="000652AB">
        <w:rPr>
          <w:sz w:val="36"/>
          <w:szCs w:val="36"/>
        </w:rPr>
        <w:t>2016</w:t>
      </w:r>
      <w:r w:rsidRPr="000652AB">
        <w:rPr>
          <w:rFonts w:hint="eastAsia"/>
          <w:sz w:val="36"/>
          <w:szCs w:val="36"/>
        </w:rPr>
        <w:t>年年度报告事后审核问询函的回复公告</w:t>
      </w:r>
    </w:p>
    <w:p w:rsidR="000652AB" w:rsidRPr="002664D8" w:rsidRDefault="000652AB" w:rsidP="00376E7D">
      <w:pPr>
        <w:pStyle w:val="Default"/>
        <w:snapToGrid w:val="0"/>
        <w:spacing w:line="348" w:lineRule="auto"/>
        <w:rPr>
          <w:rFonts w:asciiTheme="minorEastAsia" w:eastAsiaTheme="minorEastAsia" w:hAnsiTheme="minorEastAsia"/>
          <w:color w:val="FF0000"/>
          <w:sz w:val="36"/>
          <w:szCs w:val="36"/>
        </w:rPr>
      </w:pPr>
    </w:p>
    <w:p w:rsidR="000652AB" w:rsidRDefault="000652AB" w:rsidP="00376E7D">
      <w:pPr>
        <w:adjustRightInd w:val="0"/>
        <w:snapToGrid w:val="0"/>
        <w:spacing w:line="348" w:lineRule="auto"/>
        <w:ind w:firstLineChars="196" w:firstLine="472"/>
        <w:rPr>
          <w:rFonts w:ascii="宋体" w:hAnsi="宋体"/>
          <w:b/>
          <w:sz w:val="24"/>
        </w:rPr>
      </w:pPr>
      <w:r>
        <w:rPr>
          <w:rFonts w:ascii="宋体" w:hAnsi="宋体" w:hint="eastAsia"/>
          <w:b/>
          <w:sz w:val="24"/>
        </w:rPr>
        <w:t>本公司董</w:t>
      </w:r>
      <w:r w:rsidRPr="00FB43EC">
        <w:rPr>
          <w:rFonts w:ascii="宋体" w:hAnsi="宋体" w:hint="eastAsia"/>
          <w:b/>
          <w:sz w:val="24"/>
        </w:rPr>
        <w:t>事会</w:t>
      </w:r>
      <w:r>
        <w:rPr>
          <w:rFonts w:ascii="宋体" w:hAnsi="宋体" w:hint="eastAsia"/>
          <w:b/>
          <w:sz w:val="24"/>
        </w:rPr>
        <w:t>及</w:t>
      </w:r>
      <w:r w:rsidRPr="00FB43EC">
        <w:rPr>
          <w:rFonts w:ascii="宋体" w:hAnsi="宋体" w:hint="eastAsia"/>
          <w:b/>
          <w:sz w:val="24"/>
        </w:rPr>
        <w:t>全体</w:t>
      </w:r>
      <w:r>
        <w:rPr>
          <w:rFonts w:ascii="宋体" w:hAnsi="宋体" w:hint="eastAsia"/>
          <w:b/>
          <w:sz w:val="24"/>
        </w:rPr>
        <w:t>董事</w:t>
      </w:r>
      <w:r w:rsidRPr="00FB43EC">
        <w:rPr>
          <w:rFonts w:ascii="宋体" w:hAnsi="宋体" w:hint="eastAsia"/>
          <w:b/>
          <w:sz w:val="24"/>
        </w:rPr>
        <w:t>保证本</w:t>
      </w:r>
      <w:r>
        <w:rPr>
          <w:rFonts w:ascii="宋体" w:hAnsi="宋体" w:hint="eastAsia"/>
          <w:b/>
          <w:sz w:val="24"/>
        </w:rPr>
        <w:t>公</w:t>
      </w:r>
      <w:r w:rsidRPr="00FB43EC">
        <w:rPr>
          <w:rFonts w:ascii="宋体" w:hAnsi="宋体" w:hint="eastAsia"/>
          <w:b/>
          <w:sz w:val="24"/>
        </w:rPr>
        <w:t>告内容不存在任何</w:t>
      </w:r>
      <w:r>
        <w:rPr>
          <w:rFonts w:ascii="宋体" w:hAnsi="宋体" w:hint="eastAsia"/>
          <w:b/>
          <w:sz w:val="24"/>
        </w:rPr>
        <w:t>虚</w:t>
      </w:r>
      <w:r w:rsidRPr="00FB43EC">
        <w:rPr>
          <w:rFonts w:ascii="宋体" w:hAnsi="宋体" w:hint="eastAsia"/>
          <w:b/>
          <w:sz w:val="24"/>
        </w:rPr>
        <w:t>假记载、误导性陈述或者重大遗漏，并对其内容的</w:t>
      </w:r>
      <w:r>
        <w:rPr>
          <w:rFonts w:ascii="宋体" w:hAnsi="宋体" w:hint="eastAsia"/>
          <w:b/>
          <w:sz w:val="24"/>
        </w:rPr>
        <w:t>真实</w:t>
      </w:r>
      <w:r w:rsidRPr="00FB43EC">
        <w:rPr>
          <w:rFonts w:ascii="宋体" w:hAnsi="宋体" w:hint="eastAsia"/>
          <w:b/>
          <w:sz w:val="24"/>
        </w:rPr>
        <w:t>性</w:t>
      </w:r>
      <w:r>
        <w:rPr>
          <w:rFonts w:ascii="宋体" w:hAnsi="宋体" w:hint="eastAsia"/>
          <w:b/>
          <w:sz w:val="24"/>
        </w:rPr>
        <w:t>、</w:t>
      </w:r>
      <w:r w:rsidRPr="00FB43EC">
        <w:rPr>
          <w:rFonts w:ascii="宋体" w:hAnsi="宋体" w:hint="eastAsia"/>
          <w:b/>
          <w:sz w:val="24"/>
        </w:rPr>
        <w:t>准确性和</w:t>
      </w:r>
      <w:r w:rsidRPr="00D07125">
        <w:rPr>
          <w:rFonts w:ascii="宋体" w:hAnsi="宋体" w:hint="eastAsia"/>
          <w:b/>
          <w:sz w:val="24"/>
        </w:rPr>
        <w:t>完整</w:t>
      </w:r>
      <w:r w:rsidRPr="00FB43EC">
        <w:rPr>
          <w:rFonts w:ascii="宋体" w:hAnsi="宋体" w:hint="eastAsia"/>
          <w:b/>
          <w:sz w:val="24"/>
        </w:rPr>
        <w:t>性承担个别及连带责任。</w:t>
      </w:r>
    </w:p>
    <w:p w:rsidR="000652AB" w:rsidRPr="002664D8" w:rsidRDefault="000652AB" w:rsidP="00376E7D">
      <w:pPr>
        <w:pStyle w:val="Default"/>
        <w:snapToGrid w:val="0"/>
        <w:spacing w:line="348" w:lineRule="auto"/>
        <w:rPr>
          <w:rFonts w:asciiTheme="minorEastAsia" w:eastAsiaTheme="minorEastAsia" w:hAnsiTheme="minorEastAsia"/>
          <w:color w:val="FF0000"/>
          <w:sz w:val="36"/>
          <w:szCs w:val="36"/>
        </w:rPr>
      </w:pPr>
    </w:p>
    <w:p w:rsidR="006F7727" w:rsidRDefault="000652AB" w:rsidP="00376E7D">
      <w:pPr>
        <w:pStyle w:val="Default"/>
        <w:snapToGrid w:val="0"/>
        <w:spacing w:line="348" w:lineRule="auto"/>
        <w:rPr>
          <w:rFonts w:asciiTheme="minorEastAsia" w:eastAsiaTheme="minorEastAsia" w:hAnsiTheme="minorEastAsia" w:cs="宋体"/>
        </w:rPr>
      </w:pPr>
      <w:r w:rsidRPr="002664D8">
        <w:rPr>
          <w:rFonts w:asciiTheme="minorEastAsia" w:eastAsiaTheme="minorEastAsia" w:hAnsiTheme="minorEastAsia" w:cs="宋体" w:hint="eastAsia"/>
        </w:rPr>
        <w:t xml:space="preserve">    安徽铜峰电子股份有限公司（以下简称</w:t>
      </w:r>
      <w:r w:rsidRPr="002664D8">
        <w:rPr>
          <w:rFonts w:asciiTheme="minorEastAsia" w:eastAsiaTheme="minorEastAsia" w:hAnsiTheme="minorEastAsia" w:cs="宋体"/>
        </w:rPr>
        <w:t>“</w:t>
      </w:r>
      <w:r w:rsidRPr="002664D8">
        <w:rPr>
          <w:rFonts w:asciiTheme="minorEastAsia" w:eastAsiaTheme="minorEastAsia" w:hAnsiTheme="minorEastAsia" w:cs="宋体" w:hint="eastAsia"/>
        </w:rPr>
        <w:t>公司</w:t>
      </w:r>
      <w:r w:rsidRPr="002664D8">
        <w:rPr>
          <w:rFonts w:asciiTheme="minorEastAsia" w:eastAsiaTheme="minorEastAsia" w:hAnsiTheme="minorEastAsia" w:cs="宋体"/>
        </w:rPr>
        <w:t>”</w:t>
      </w:r>
      <w:r w:rsidRPr="002664D8">
        <w:rPr>
          <w:rFonts w:asciiTheme="minorEastAsia" w:eastAsiaTheme="minorEastAsia" w:hAnsiTheme="minorEastAsia" w:cs="宋体" w:hint="eastAsia"/>
        </w:rPr>
        <w:t>）于</w:t>
      </w:r>
      <w:r w:rsidRPr="002664D8">
        <w:rPr>
          <w:rFonts w:asciiTheme="minorEastAsia" w:eastAsiaTheme="minorEastAsia" w:hAnsiTheme="minorEastAsia" w:cs="宋体"/>
        </w:rPr>
        <w:t>2017</w:t>
      </w:r>
      <w:r w:rsidRPr="002664D8">
        <w:rPr>
          <w:rFonts w:asciiTheme="minorEastAsia" w:eastAsiaTheme="minorEastAsia" w:hAnsiTheme="minorEastAsia" w:cs="宋体" w:hint="eastAsia"/>
        </w:rPr>
        <w:t>年</w:t>
      </w:r>
      <w:r w:rsidR="006F7727">
        <w:rPr>
          <w:rFonts w:asciiTheme="minorEastAsia" w:eastAsiaTheme="minorEastAsia" w:hAnsiTheme="minorEastAsia" w:cs="宋体" w:hint="eastAsia"/>
        </w:rPr>
        <w:t>5</w:t>
      </w:r>
      <w:r w:rsidRPr="002664D8">
        <w:rPr>
          <w:rFonts w:asciiTheme="minorEastAsia" w:eastAsiaTheme="minorEastAsia" w:hAnsiTheme="minorEastAsia" w:cs="宋体" w:hint="eastAsia"/>
        </w:rPr>
        <w:t>月</w:t>
      </w:r>
      <w:r w:rsidR="006F7727">
        <w:rPr>
          <w:rFonts w:asciiTheme="minorEastAsia" w:eastAsiaTheme="minorEastAsia" w:hAnsiTheme="minorEastAsia" w:cs="宋体" w:hint="eastAsia"/>
        </w:rPr>
        <w:t>16</w:t>
      </w:r>
      <w:r w:rsidRPr="002664D8">
        <w:rPr>
          <w:rFonts w:asciiTheme="minorEastAsia" w:eastAsiaTheme="minorEastAsia" w:hAnsiTheme="minorEastAsia" w:cs="宋体" w:hint="eastAsia"/>
        </w:rPr>
        <w:t>日收到上海证券交易所《关于对安徽铜峰电子股份有限公司</w:t>
      </w:r>
      <w:r w:rsidRPr="002664D8">
        <w:rPr>
          <w:rFonts w:asciiTheme="minorEastAsia" w:eastAsiaTheme="minorEastAsia" w:hAnsiTheme="minorEastAsia" w:cs="宋体"/>
        </w:rPr>
        <w:t>2016</w:t>
      </w:r>
      <w:r w:rsidRPr="002664D8">
        <w:rPr>
          <w:rFonts w:asciiTheme="minorEastAsia" w:eastAsiaTheme="minorEastAsia" w:hAnsiTheme="minorEastAsia" w:cs="宋体" w:hint="eastAsia"/>
        </w:rPr>
        <w:t>年年度报告的事后审核问询函》</w:t>
      </w:r>
      <w:r w:rsidR="006F7727">
        <w:rPr>
          <w:rFonts w:asciiTheme="minorEastAsia" w:eastAsiaTheme="minorEastAsia" w:hAnsiTheme="minorEastAsia" w:cs="宋体" w:hint="eastAsia"/>
        </w:rPr>
        <w:t>（</w:t>
      </w:r>
      <w:r w:rsidRPr="002664D8">
        <w:rPr>
          <w:rFonts w:asciiTheme="minorEastAsia" w:eastAsiaTheme="minorEastAsia" w:hAnsiTheme="minorEastAsia" w:cs="宋体" w:hint="eastAsia"/>
        </w:rPr>
        <w:t>上证公</w:t>
      </w:r>
      <w:r w:rsidRPr="006F7727">
        <w:rPr>
          <w:rFonts w:asciiTheme="minorEastAsia" w:eastAsiaTheme="minorEastAsia" w:hAnsiTheme="minorEastAsia" w:cs="宋体" w:hint="eastAsia"/>
        </w:rPr>
        <w:t>函【</w:t>
      </w:r>
      <w:r w:rsidRPr="006F7727">
        <w:rPr>
          <w:rFonts w:asciiTheme="minorEastAsia" w:eastAsiaTheme="minorEastAsia" w:hAnsiTheme="minorEastAsia" w:cs="宋体"/>
        </w:rPr>
        <w:t>2017</w:t>
      </w:r>
      <w:r w:rsidRPr="006F7727">
        <w:rPr>
          <w:rFonts w:asciiTheme="minorEastAsia" w:eastAsiaTheme="minorEastAsia" w:hAnsiTheme="minorEastAsia" w:cs="宋体" w:hint="eastAsia"/>
        </w:rPr>
        <w:t>】</w:t>
      </w:r>
      <w:r w:rsidRPr="006F7727">
        <w:rPr>
          <w:rFonts w:asciiTheme="minorEastAsia" w:eastAsiaTheme="minorEastAsia" w:hAnsiTheme="minorEastAsia" w:cs="宋体"/>
        </w:rPr>
        <w:t>0</w:t>
      </w:r>
      <w:r w:rsidRPr="006F7727">
        <w:rPr>
          <w:rFonts w:asciiTheme="minorEastAsia" w:eastAsiaTheme="minorEastAsia" w:hAnsiTheme="minorEastAsia" w:cs="宋体" w:hint="eastAsia"/>
        </w:rPr>
        <w:t>572 号，</w:t>
      </w:r>
      <w:r w:rsidR="006F7727" w:rsidRPr="006F7727">
        <w:rPr>
          <w:rFonts w:asciiTheme="minorEastAsia" w:eastAsiaTheme="minorEastAsia" w:hAnsiTheme="minorEastAsia" w:cs="宋体" w:hint="eastAsia"/>
        </w:rPr>
        <w:t>以下简称</w:t>
      </w:r>
      <w:r w:rsidR="006F7727" w:rsidRPr="006F7727">
        <w:rPr>
          <w:rFonts w:asciiTheme="minorEastAsia" w:eastAsiaTheme="minorEastAsia" w:hAnsiTheme="minorEastAsia" w:cs="宋体"/>
        </w:rPr>
        <w:t>“</w:t>
      </w:r>
      <w:r w:rsidR="006F7727" w:rsidRPr="006F7727">
        <w:rPr>
          <w:rFonts w:asciiTheme="minorEastAsia" w:eastAsiaTheme="minorEastAsia" w:hAnsiTheme="minorEastAsia" w:cs="宋体" w:hint="eastAsia"/>
        </w:rPr>
        <w:t>《问询函》</w:t>
      </w:r>
      <w:r w:rsidR="006F7727" w:rsidRPr="006F7727">
        <w:rPr>
          <w:rFonts w:asciiTheme="minorEastAsia" w:eastAsiaTheme="minorEastAsia" w:hAnsiTheme="minorEastAsia" w:cs="宋体"/>
        </w:rPr>
        <w:t>”</w:t>
      </w:r>
      <w:r w:rsidR="006F7727" w:rsidRPr="006F7727">
        <w:rPr>
          <w:rFonts w:asciiTheme="minorEastAsia" w:eastAsiaTheme="minorEastAsia" w:hAnsiTheme="minorEastAsia" w:cs="宋体" w:hint="eastAsia"/>
        </w:rPr>
        <w:t>）。根据《问询函》要求，现将相关情况回复并公告如下：</w:t>
      </w:r>
      <w:r w:rsidRPr="002664D8">
        <w:rPr>
          <w:rFonts w:asciiTheme="minorEastAsia" w:eastAsiaTheme="minorEastAsia" w:hAnsiTheme="minorEastAsia" w:cs="宋体"/>
        </w:rPr>
        <w:t xml:space="preserve"> </w:t>
      </w:r>
    </w:p>
    <w:p w:rsidR="006F7727" w:rsidRDefault="006F7727" w:rsidP="00376E7D">
      <w:pPr>
        <w:pStyle w:val="Default"/>
        <w:snapToGrid w:val="0"/>
        <w:spacing w:line="348" w:lineRule="auto"/>
        <w:rPr>
          <w:rFonts w:asciiTheme="minorEastAsia" w:eastAsiaTheme="minorEastAsia" w:hAnsiTheme="minorEastAsia" w:cs="宋体"/>
        </w:rPr>
      </w:pPr>
    </w:p>
    <w:p w:rsidR="006F7727" w:rsidRPr="003C7679" w:rsidRDefault="006F7727" w:rsidP="00376E7D">
      <w:pPr>
        <w:pStyle w:val="Default"/>
        <w:snapToGrid w:val="0"/>
        <w:spacing w:line="348" w:lineRule="auto"/>
        <w:rPr>
          <w:rFonts w:hAnsi="黑体" w:cs="宋体"/>
          <w:sz w:val="28"/>
          <w:szCs w:val="28"/>
        </w:rPr>
      </w:pPr>
      <w:r w:rsidRPr="003C7679">
        <w:rPr>
          <w:rFonts w:hAnsi="黑体" w:cs="宋体" w:hint="eastAsia"/>
          <w:sz w:val="28"/>
          <w:szCs w:val="28"/>
        </w:rPr>
        <w:t xml:space="preserve">    </w:t>
      </w:r>
      <w:r w:rsidR="000652AB" w:rsidRPr="003C7679">
        <w:rPr>
          <w:rFonts w:hAnsi="黑体" w:cs="宋体" w:hint="eastAsia"/>
          <w:sz w:val="28"/>
          <w:szCs w:val="28"/>
        </w:rPr>
        <w:t>一、关于公司主营业绩持续下滑。</w:t>
      </w:r>
    </w:p>
    <w:p w:rsidR="000652AB" w:rsidRDefault="006F7727" w:rsidP="00376E7D">
      <w:pPr>
        <w:pStyle w:val="Default"/>
        <w:snapToGrid w:val="0"/>
        <w:spacing w:line="348"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0652AB" w:rsidRPr="002664D8">
        <w:rPr>
          <w:rFonts w:asciiTheme="minorEastAsia" w:eastAsiaTheme="minorEastAsia" w:hAnsiTheme="minorEastAsia" w:cs="宋体" w:hint="eastAsia"/>
        </w:rPr>
        <w:t>年报显示，公司近三年营业收入分别为</w:t>
      </w:r>
      <w:r w:rsidR="000652AB" w:rsidRPr="002664D8">
        <w:rPr>
          <w:rFonts w:asciiTheme="minorEastAsia" w:eastAsiaTheme="minorEastAsia" w:hAnsiTheme="minorEastAsia" w:cs="宋体"/>
        </w:rPr>
        <w:t>6.72</w:t>
      </w:r>
      <w:r w:rsidR="000652AB" w:rsidRPr="002664D8">
        <w:rPr>
          <w:rFonts w:asciiTheme="minorEastAsia" w:eastAsiaTheme="minorEastAsia" w:hAnsiTheme="minorEastAsia" w:cs="宋体" w:hint="eastAsia"/>
        </w:rPr>
        <w:t>亿元、</w:t>
      </w:r>
      <w:r w:rsidR="000652AB" w:rsidRPr="002664D8">
        <w:rPr>
          <w:rFonts w:asciiTheme="minorEastAsia" w:eastAsiaTheme="minorEastAsia" w:hAnsiTheme="minorEastAsia" w:cs="宋体"/>
        </w:rPr>
        <w:t>6</w:t>
      </w:r>
      <w:r w:rsidR="000652AB" w:rsidRPr="002664D8">
        <w:rPr>
          <w:rFonts w:asciiTheme="minorEastAsia" w:eastAsiaTheme="minorEastAsia" w:hAnsiTheme="minorEastAsia" w:cs="宋体" w:hint="eastAsia"/>
        </w:rPr>
        <w:t>亿元和</w:t>
      </w:r>
      <w:r w:rsidR="000652AB" w:rsidRPr="002664D8">
        <w:rPr>
          <w:rFonts w:asciiTheme="minorEastAsia" w:eastAsiaTheme="minorEastAsia" w:hAnsiTheme="minorEastAsia" w:cs="宋体"/>
        </w:rPr>
        <w:t>5.91</w:t>
      </w:r>
      <w:r w:rsidR="000652AB" w:rsidRPr="002664D8">
        <w:rPr>
          <w:rFonts w:asciiTheme="minorEastAsia" w:eastAsiaTheme="minorEastAsia" w:hAnsiTheme="minorEastAsia" w:cs="宋体" w:hint="eastAsia"/>
        </w:rPr>
        <w:t>亿元，实现归属于上市公司股东扣非后的净利润分别是</w:t>
      </w:r>
      <w:r w:rsidR="000652AB" w:rsidRPr="002664D8">
        <w:rPr>
          <w:rFonts w:asciiTheme="minorEastAsia" w:eastAsiaTheme="minorEastAsia" w:hAnsiTheme="minorEastAsia" w:cs="宋体"/>
        </w:rPr>
        <w:t>-9,169</w:t>
      </w:r>
      <w:r w:rsidR="000652AB" w:rsidRPr="002664D8">
        <w:rPr>
          <w:rFonts w:asciiTheme="minorEastAsia" w:eastAsiaTheme="minorEastAsia" w:hAnsiTheme="minorEastAsia" w:cs="宋体" w:hint="eastAsia"/>
        </w:rPr>
        <w:t>万元、</w:t>
      </w:r>
      <w:r w:rsidR="000652AB" w:rsidRPr="002664D8">
        <w:rPr>
          <w:rFonts w:asciiTheme="minorEastAsia" w:eastAsiaTheme="minorEastAsia" w:hAnsiTheme="minorEastAsia" w:cs="宋体"/>
        </w:rPr>
        <w:t>-11,413</w:t>
      </w:r>
      <w:r w:rsidR="000652AB" w:rsidRPr="002664D8">
        <w:rPr>
          <w:rFonts w:asciiTheme="minorEastAsia" w:eastAsiaTheme="minorEastAsia" w:hAnsiTheme="minorEastAsia" w:cs="宋体" w:hint="eastAsia"/>
        </w:rPr>
        <w:t>万元和</w:t>
      </w:r>
      <w:r w:rsidR="000652AB" w:rsidRPr="002664D8">
        <w:rPr>
          <w:rFonts w:asciiTheme="minorEastAsia" w:eastAsiaTheme="minorEastAsia" w:hAnsiTheme="minorEastAsia" w:cs="宋体"/>
        </w:rPr>
        <w:t>-21,701</w:t>
      </w:r>
      <w:r w:rsidR="000652AB" w:rsidRPr="002664D8">
        <w:rPr>
          <w:rFonts w:asciiTheme="minorEastAsia" w:eastAsiaTheme="minorEastAsia" w:hAnsiTheme="minorEastAsia" w:cs="宋体" w:hint="eastAsia"/>
        </w:rPr>
        <w:t>万元，亏损幅度持续扩大。同时，</w:t>
      </w:r>
      <w:r w:rsidR="000652AB" w:rsidRPr="002664D8">
        <w:rPr>
          <w:rFonts w:asciiTheme="minorEastAsia" w:eastAsiaTheme="minorEastAsia" w:hAnsiTheme="minorEastAsia" w:cs="宋体"/>
        </w:rPr>
        <w:t>2016</w:t>
      </w:r>
      <w:r w:rsidR="000652AB" w:rsidRPr="002664D8">
        <w:rPr>
          <w:rFonts w:asciiTheme="minorEastAsia" w:eastAsiaTheme="minorEastAsia" w:hAnsiTheme="minorEastAsia" w:cs="宋体" w:hint="eastAsia"/>
        </w:rPr>
        <w:t>年第</w:t>
      </w:r>
      <w:r w:rsidR="000652AB" w:rsidRPr="002664D8">
        <w:rPr>
          <w:rFonts w:asciiTheme="minorEastAsia" w:eastAsiaTheme="minorEastAsia" w:hAnsiTheme="minorEastAsia" w:cs="宋体"/>
        </w:rPr>
        <w:t>1-4</w:t>
      </w:r>
      <w:r w:rsidR="000652AB" w:rsidRPr="002664D8">
        <w:rPr>
          <w:rFonts w:asciiTheme="minorEastAsia" w:eastAsiaTheme="minorEastAsia" w:hAnsiTheme="minorEastAsia" w:cs="宋体" w:hint="eastAsia"/>
        </w:rPr>
        <w:t>季度分别实现收入</w:t>
      </w:r>
      <w:r w:rsidR="000652AB" w:rsidRPr="002664D8">
        <w:rPr>
          <w:rFonts w:asciiTheme="minorEastAsia" w:eastAsiaTheme="minorEastAsia" w:hAnsiTheme="minorEastAsia" w:cs="宋体"/>
        </w:rPr>
        <w:t>1.51</w:t>
      </w:r>
      <w:r w:rsidR="000652AB" w:rsidRPr="002664D8">
        <w:rPr>
          <w:rFonts w:asciiTheme="minorEastAsia" w:eastAsiaTheme="minorEastAsia" w:hAnsiTheme="minorEastAsia" w:cs="宋体" w:hint="eastAsia"/>
        </w:rPr>
        <w:t>亿元、</w:t>
      </w:r>
      <w:r w:rsidR="000652AB" w:rsidRPr="002664D8">
        <w:rPr>
          <w:rFonts w:asciiTheme="minorEastAsia" w:eastAsiaTheme="minorEastAsia" w:hAnsiTheme="minorEastAsia" w:cs="宋体"/>
        </w:rPr>
        <w:t>1.62</w:t>
      </w:r>
      <w:r w:rsidR="000652AB" w:rsidRPr="002664D8">
        <w:rPr>
          <w:rFonts w:asciiTheme="minorEastAsia" w:eastAsiaTheme="minorEastAsia" w:hAnsiTheme="minorEastAsia" w:cs="宋体" w:hint="eastAsia"/>
        </w:rPr>
        <w:t>亿元、</w:t>
      </w:r>
      <w:r w:rsidR="000652AB" w:rsidRPr="002664D8">
        <w:rPr>
          <w:rFonts w:asciiTheme="minorEastAsia" w:eastAsiaTheme="minorEastAsia" w:hAnsiTheme="minorEastAsia" w:cs="宋体"/>
        </w:rPr>
        <w:t>1.35</w:t>
      </w:r>
      <w:r w:rsidR="000652AB" w:rsidRPr="002664D8">
        <w:rPr>
          <w:rFonts w:asciiTheme="minorEastAsia" w:eastAsiaTheme="minorEastAsia" w:hAnsiTheme="minorEastAsia" w:cs="宋体" w:hint="eastAsia"/>
        </w:rPr>
        <w:t>亿元和</w:t>
      </w:r>
      <w:r w:rsidR="000652AB" w:rsidRPr="002664D8">
        <w:rPr>
          <w:rFonts w:asciiTheme="minorEastAsia" w:eastAsiaTheme="minorEastAsia" w:hAnsiTheme="minorEastAsia" w:cs="宋体"/>
        </w:rPr>
        <w:t>1.42</w:t>
      </w:r>
      <w:r w:rsidR="000652AB" w:rsidRPr="002664D8">
        <w:rPr>
          <w:rFonts w:asciiTheme="minorEastAsia" w:eastAsiaTheme="minorEastAsia" w:hAnsiTheme="minorEastAsia" w:cs="宋体" w:hint="eastAsia"/>
        </w:rPr>
        <w:t>亿元，同期实现的扣非后净利润分别为</w:t>
      </w:r>
      <w:r w:rsidR="000652AB" w:rsidRPr="002664D8">
        <w:rPr>
          <w:rFonts w:asciiTheme="minorEastAsia" w:eastAsiaTheme="minorEastAsia" w:hAnsiTheme="minorEastAsia" w:cs="宋体"/>
        </w:rPr>
        <w:t>-4,391</w:t>
      </w:r>
      <w:r w:rsidR="000652AB" w:rsidRPr="002664D8">
        <w:rPr>
          <w:rFonts w:asciiTheme="minorEastAsia" w:eastAsiaTheme="minorEastAsia" w:hAnsiTheme="minorEastAsia" w:cs="宋体" w:hint="eastAsia"/>
        </w:rPr>
        <w:t>万元、</w:t>
      </w:r>
      <w:r w:rsidR="000652AB" w:rsidRPr="002664D8">
        <w:rPr>
          <w:rFonts w:asciiTheme="minorEastAsia" w:eastAsiaTheme="minorEastAsia" w:hAnsiTheme="minorEastAsia" w:cs="宋体"/>
        </w:rPr>
        <w:t>-3,116</w:t>
      </w:r>
      <w:r w:rsidR="000652AB" w:rsidRPr="002664D8">
        <w:rPr>
          <w:rFonts w:asciiTheme="minorEastAsia" w:eastAsiaTheme="minorEastAsia" w:hAnsiTheme="minorEastAsia" w:cs="宋体" w:hint="eastAsia"/>
        </w:rPr>
        <w:t>万元、</w:t>
      </w:r>
      <w:r w:rsidR="000652AB" w:rsidRPr="002664D8">
        <w:rPr>
          <w:rFonts w:asciiTheme="minorEastAsia" w:eastAsiaTheme="minorEastAsia" w:hAnsiTheme="minorEastAsia" w:cs="宋体"/>
        </w:rPr>
        <w:t>-3,739</w:t>
      </w:r>
      <w:r w:rsidR="000652AB" w:rsidRPr="002664D8">
        <w:rPr>
          <w:rFonts w:asciiTheme="minorEastAsia" w:eastAsiaTheme="minorEastAsia" w:hAnsiTheme="minorEastAsia" w:cs="宋体" w:hint="eastAsia"/>
        </w:rPr>
        <w:t>万元和</w:t>
      </w:r>
      <w:r w:rsidR="000652AB" w:rsidRPr="002664D8">
        <w:rPr>
          <w:rFonts w:asciiTheme="minorEastAsia" w:eastAsiaTheme="minorEastAsia" w:hAnsiTheme="minorEastAsia" w:cs="宋体"/>
        </w:rPr>
        <w:t>-15,253</w:t>
      </w:r>
      <w:r w:rsidR="000652AB" w:rsidRPr="002664D8">
        <w:rPr>
          <w:rFonts w:asciiTheme="minorEastAsia" w:eastAsiaTheme="minorEastAsia" w:hAnsiTheme="minorEastAsia" w:cs="宋体" w:hint="eastAsia"/>
        </w:rPr>
        <w:t>万元。请公司:（</w:t>
      </w:r>
      <w:r w:rsidR="000652AB" w:rsidRPr="002664D8">
        <w:rPr>
          <w:rFonts w:asciiTheme="minorEastAsia" w:eastAsiaTheme="minorEastAsia" w:hAnsiTheme="minorEastAsia" w:cs="宋体"/>
        </w:rPr>
        <w:t>1</w:t>
      </w:r>
      <w:r w:rsidR="000652AB" w:rsidRPr="002664D8">
        <w:rPr>
          <w:rFonts w:asciiTheme="minorEastAsia" w:eastAsiaTheme="minorEastAsia" w:hAnsiTheme="minorEastAsia" w:cs="宋体" w:hint="eastAsia"/>
        </w:rPr>
        <w:t>）结合行业发展趋势、市场竞争等因素，补充披露业绩持续下滑的具体原因，并说明后续拟采取的应对措施；（</w:t>
      </w:r>
      <w:r w:rsidR="000652AB" w:rsidRPr="002664D8">
        <w:rPr>
          <w:rFonts w:asciiTheme="minorEastAsia" w:eastAsiaTheme="minorEastAsia" w:hAnsiTheme="minorEastAsia" w:cs="宋体"/>
        </w:rPr>
        <w:t>2</w:t>
      </w:r>
      <w:r w:rsidR="000652AB" w:rsidRPr="002664D8">
        <w:rPr>
          <w:rFonts w:asciiTheme="minorEastAsia" w:eastAsiaTheme="minorEastAsia" w:hAnsiTheme="minorEastAsia" w:cs="宋体" w:hint="eastAsia"/>
        </w:rPr>
        <w:t>）在各季度收入相对平稳的情形下，补充披露主营净利润大幅变动的原因。</w:t>
      </w:r>
    </w:p>
    <w:p w:rsidR="005B7FB5" w:rsidRDefault="006F7727" w:rsidP="00376E7D">
      <w:pPr>
        <w:pStyle w:val="Default"/>
        <w:snapToGrid w:val="0"/>
        <w:spacing w:line="348" w:lineRule="auto"/>
        <w:rPr>
          <w:rFonts w:asciiTheme="minorEastAsia" w:eastAsiaTheme="minorEastAsia" w:hAnsiTheme="minorEastAsia" w:cs="宋体"/>
          <w:b/>
        </w:rPr>
      </w:pPr>
      <w:r>
        <w:rPr>
          <w:rFonts w:asciiTheme="minorEastAsia" w:eastAsiaTheme="minorEastAsia" w:hAnsiTheme="minorEastAsia" w:cs="宋体" w:hint="eastAsia"/>
        </w:rPr>
        <w:t xml:space="preserve">  </w:t>
      </w:r>
      <w:r w:rsidRPr="005B7FB5">
        <w:rPr>
          <w:rFonts w:asciiTheme="minorEastAsia" w:eastAsiaTheme="minorEastAsia" w:hAnsiTheme="minorEastAsia" w:cs="宋体" w:hint="eastAsia"/>
          <w:b/>
        </w:rPr>
        <w:t xml:space="preserve">  答复：</w:t>
      </w:r>
      <w:r w:rsidR="006E4E9D" w:rsidRPr="005B7FB5">
        <w:rPr>
          <w:rFonts w:asciiTheme="minorEastAsia" w:eastAsiaTheme="minorEastAsia" w:hAnsiTheme="minorEastAsia" w:cs="宋体" w:hint="eastAsia"/>
          <w:b/>
        </w:rPr>
        <w:t>（</w:t>
      </w:r>
      <w:r w:rsidR="00F85013">
        <w:rPr>
          <w:rFonts w:asciiTheme="minorEastAsia" w:eastAsiaTheme="minorEastAsia" w:hAnsiTheme="minorEastAsia" w:cs="宋体" w:hint="eastAsia"/>
          <w:b/>
        </w:rPr>
        <w:t>1</w:t>
      </w:r>
      <w:r w:rsidR="006E4E9D" w:rsidRPr="005B7FB5">
        <w:rPr>
          <w:rFonts w:asciiTheme="minorEastAsia" w:eastAsiaTheme="minorEastAsia" w:hAnsiTheme="minorEastAsia" w:cs="宋体" w:hint="eastAsia"/>
          <w:b/>
        </w:rPr>
        <w:t>）结合行业发展趋势、市场竞争等因素，补充披露业绩持续下滑的具体原因，并说明后续拟采取的应对措施；</w:t>
      </w:r>
    </w:p>
    <w:p w:rsidR="003643E5" w:rsidRPr="005B7FB5" w:rsidRDefault="005B7FB5" w:rsidP="00376E7D">
      <w:pPr>
        <w:pStyle w:val="Default"/>
        <w:snapToGrid w:val="0"/>
        <w:spacing w:line="348" w:lineRule="auto"/>
        <w:rPr>
          <w:rFonts w:asciiTheme="minorEastAsia" w:eastAsiaTheme="minorEastAsia" w:hAnsiTheme="minorEastAsia" w:cs="宋体"/>
          <w:b/>
        </w:rPr>
      </w:pPr>
      <w:r w:rsidRPr="005B7FB5">
        <w:rPr>
          <w:rFonts w:asciiTheme="minorEastAsia" w:eastAsiaTheme="minorEastAsia" w:hAnsiTheme="minorEastAsia" w:cs="宋体" w:hint="eastAsia"/>
          <w:b/>
        </w:rPr>
        <w:t xml:space="preserve">    </w:t>
      </w:r>
      <w:r w:rsidR="003643E5" w:rsidRPr="005B7FB5">
        <w:rPr>
          <w:rFonts w:asciiTheme="minorEastAsia" w:eastAsiaTheme="minorEastAsia" w:hAnsiTheme="minorEastAsia" w:cs="宋体" w:hint="eastAsia"/>
          <w:b/>
        </w:rPr>
        <w:t>一</w:t>
      </w:r>
      <w:r>
        <w:rPr>
          <w:rFonts w:asciiTheme="minorEastAsia" w:eastAsiaTheme="minorEastAsia" w:hAnsiTheme="minorEastAsia" w:cs="宋体" w:hint="eastAsia"/>
          <w:b/>
        </w:rPr>
        <w:t>、</w:t>
      </w:r>
      <w:r w:rsidR="003643E5" w:rsidRPr="005B7FB5">
        <w:rPr>
          <w:rFonts w:asciiTheme="minorEastAsia" w:eastAsiaTheme="minorEastAsia" w:hAnsiTheme="minorEastAsia" w:cs="宋体" w:hint="eastAsia"/>
          <w:b/>
        </w:rPr>
        <w:t>业绩持续下滑的具体原因</w:t>
      </w:r>
    </w:p>
    <w:p w:rsidR="006E4E9D" w:rsidRDefault="00264147" w:rsidP="00376E7D">
      <w:pPr>
        <w:pStyle w:val="Default"/>
        <w:snapToGrid w:val="0"/>
        <w:spacing w:line="348"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E47920">
        <w:rPr>
          <w:rFonts w:asciiTheme="minorEastAsia" w:eastAsiaTheme="minorEastAsia" w:hAnsiTheme="minorEastAsia" w:cs="宋体" w:hint="eastAsia"/>
        </w:rPr>
        <w:t>近三年，公司</w:t>
      </w:r>
      <w:r w:rsidR="00E47920" w:rsidRPr="002664D8">
        <w:rPr>
          <w:rFonts w:asciiTheme="minorEastAsia" w:eastAsiaTheme="minorEastAsia" w:hAnsiTheme="minorEastAsia" w:cs="宋体" w:hint="eastAsia"/>
        </w:rPr>
        <w:t>实现归属于上市公司</w:t>
      </w:r>
      <w:proofErr w:type="gramStart"/>
      <w:r w:rsidR="00E47920" w:rsidRPr="002664D8">
        <w:rPr>
          <w:rFonts w:asciiTheme="minorEastAsia" w:eastAsiaTheme="minorEastAsia" w:hAnsiTheme="minorEastAsia" w:cs="宋体" w:hint="eastAsia"/>
        </w:rPr>
        <w:t>股东扣非后</w:t>
      </w:r>
      <w:proofErr w:type="gramEnd"/>
      <w:r w:rsidR="00E47920" w:rsidRPr="002664D8">
        <w:rPr>
          <w:rFonts w:asciiTheme="minorEastAsia" w:eastAsiaTheme="minorEastAsia" w:hAnsiTheme="minorEastAsia" w:cs="宋体" w:hint="eastAsia"/>
        </w:rPr>
        <w:t>的净利润分别是</w:t>
      </w:r>
      <w:r w:rsidR="00E47920" w:rsidRPr="002664D8">
        <w:rPr>
          <w:rFonts w:asciiTheme="minorEastAsia" w:eastAsiaTheme="minorEastAsia" w:hAnsiTheme="minorEastAsia" w:cs="宋体"/>
        </w:rPr>
        <w:t>-9,169</w:t>
      </w:r>
      <w:r w:rsidR="00E47920" w:rsidRPr="002664D8">
        <w:rPr>
          <w:rFonts w:asciiTheme="minorEastAsia" w:eastAsiaTheme="minorEastAsia" w:hAnsiTheme="minorEastAsia" w:cs="宋体" w:hint="eastAsia"/>
        </w:rPr>
        <w:t>万元、</w:t>
      </w:r>
      <w:r w:rsidR="00E47920" w:rsidRPr="002664D8">
        <w:rPr>
          <w:rFonts w:asciiTheme="minorEastAsia" w:eastAsiaTheme="minorEastAsia" w:hAnsiTheme="minorEastAsia" w:cs="宋体"/>
        </w:rPr>
        <w:t>-11,413</w:t>
      </w:r>
      <w:r w:rsidR="00E47920" w:rsidRPr="002664D8">
        <w:rPr>
          <w:rFonts w:asciiTheme="minorEastAsia" w:eastAsiaTheme="minorEastAsia" w:hAnsiTheme="minorEastAsia" w:cs="宋体" w:hint="eastAsia"/>
        </w:rPr>
        <w:t>万元和</w:t>
      </w:r>
      <w:r w:rsidR="00E47920" w:rsidRPr="002664D8">
        <w:rPr>
          <w:rFonts w:asciiTheme="minorEastAsia" w:eastAsiaTheme="minorEastAsia" w:hAnsiTheme="minorEastAsia" w:cs="宋体"/>
        </w:rPr>
        <w:t>-21,701</w:t>
      </w:r>
      <w:r w:rsidR="00E47920" w:rsidRPr="002664D8">
        <w:rPr>
          <w:rFonts w:asciiTheme="minorEastAsia" w:eastAsiaTheme="minorEastAsia" w:hAnsiTheme="minorEastAsia" w:cs="宋体" w:hint="eastAsia"/>
        </w:rPr>
        <w:t>万元，亏损幅度持续扩大</w:t>
      </w:r>
      <w:r w:rsidR="00E47920">
        <w:rPr>
          <w:rFonts w:asciiTheme="minorEastAsia" w:eastAsiaTheme="minorEastAsia" w:hAnsiTheme="minorEastAsia" w:cs="宋体" w:hint="eastAsia"/>
        </w:rPr>
        <w:t>的</w:t>
      </w:r>
      <w:r w:rsidR="006E4E9D" w:rsidRPr="006E4E9D">
        <w:rPr>
          <w:rFonts w:asciiTheme="minorEastAsia" w:eastAsiaTheme="minorEastAsia" w:hAnsiTheme="minorEastAsia" w:cs="宋体" w:hint="eastAsia"/>
        </w:rPr>
        <w:t>具体原因有以下</w:t>
      </w:r>
      <w:r w:rsidR="000A4A50">
        <w:rPr>
          <w:rFonts w:asciiTheme="minorEastAsia" w:eastAsiaTheme="minorEastAsia" w:hAnsiTheme="minorEastAsia" w:cs="宋体" w:hint="eastAsia"/>
        </w:rPr>
        <w:t>两</w:t>
      </w:r>
      <w:r w:rsidR="006E4E9D" w:rsidRPr="006E4E9D">
        <w:rPr>
          <w:rFonts w:asciiTheme="minorEastAsia" w:eastAsiaTheme="minorEastAsia" w:hAnsiTheme="minorEastAsia" w:cs="宋体" w:hint="eastAsia"/>
        </w:rPr>
        <w:t>点，分析如下：</w:t>
      </w:r>
    </w:p>
    <w:p w:rsidR="006E4E9D" w:rsidRPr="0064769C" w:rsidRDefault="006E4E9D" w:rsidP="00376E7D">
      <w:pPr>
        <w:pStyle w:val="Default"/>
        <w:snapToGrid w:val="0"/>
        <w:spacing w:line="348" w:lineRule="auto"/>
        <w:rPr>
          <w:rFonts w:asciiTheme="minorEastAsia" w:eastAsiaTheme="minorEastAsia" w:hAnsiTheme="minorEastAsia" w:cs="Times New Roman"/>
          <w:b/>
        </w:rPr>
      </w:pPr>
      <w:r>
        <w:rPr>
          <w:rFonts w:asciiTheme="minorEastAsia" w:eastAsiaTheme="minorEastAsia" w:hAnsiTheme="minorEastAsia" w:cs="宋体" w:hint="eastAsia"/>
        </w:rPr>
        <w:t xml:space="preserve">    </w:t>
      </w:r>
      <w:r w:rsidRPr="0064769C">
        <w:rPr>
          <w:rFonts w:asciiTheme="minorEastAsia" w:eastAsiaTheme="minorEastAsia" w:hAnsiTheme="minorEastAsia" w:cs="Times New Roman" w:hint="eastAsia"/>
          <w:b/>
        </w:rPr>
        <w:t>1</w:t>
      </w:r>
      <w:r w:rsidR="000C2882" w:rsidRPr="0064769C">
        <w:rPr>
          <w:rFonts w:asciiTheme="minorEastAsia" w:eastAsiaTheme="minorEastAsia" w:hAnsiTheme="minorEastAsia" w:cs="Times New Roman" w:hint="eastAsia"/>
          <w:b/>
        </w:rPr>
        <w:t>、</w:t>
      </w:r>
      <w:r w:rsidRPr="0064769C">
        <w:rPr>
          <w:rFonts w:asciiTheme="minorEastAsia" w:eastAsiaTheme="minorEastAsia" w:hAnsiTheme="minorEastAsia" w:cs="Times New Roman" w:hint="eastAsia"/>
          <w:b/>
        </w:rPr>
        <w:t>2014-2016年度收入结构的影响：</w:t>
      </w:r>
    </w:p>
    <w:p w:rsidR="00431DE2" w:rsidRDefault="006E4E9D" w:rsidP="00376E7D">
      <w:pPr>
        <w:pStyle w:val="a9"/>
        <w:snapToGrid w:val="0"/>
        <w:spacing w:line="348" w:lineRule="auto"/>
        <w:ind w:left="786" w:firstLineChars="0" w:firstLine="0"/>
        <w:rPr>
          <w:rFonts w:ascii="黑体" w:eastAsia="黑体" w:hAnsi="黑体" w:cs="Times New Roman"/>
          <w:sz w:val="24"/>
          <w:szCs w:val="24"/>
        </w:rPr>
      </w:pPr>
      <w:r>
        <w:rPr>
          <w:rFonts w:ascii="Times New Roman" w:hAnsi="Times New Roman" w:cs="Times New Roman" w:hint="eastAsia"/>
          <w:sz w:val="24"/>
          <w:szCs w:val="24"/>
        </w:rPr>
        <w:lastRenderedPageBreak/>
        <w:t xml:space="preserve">     </w:t>
      </w:r>
      <w:r w:rsidR="00213C34">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431DE2" w:rsidRPr="00431DE2">
        <w:rPr>
          <w:rFonts w:ascii="黑体" w:eastAsia="黑体" w:hAnsi="黑体" w:cs="Times New Roman" w:hint="eastAsia"/>
          <w:sz w:val="24"/>
          <w:szCs w:val="24"/>
        </w:rPr>
        <w:t xml:space="preserve"> </w:t>
      </w:r>
      <w:r w:rsidR="0078615C" w:rsidRPr="00431DE2">
        <w:rPr>
          <w:rFonts w:ascii="黑体" w:eastAsia="黑体" w:hAnsi="黑体" w:cs="Times New Roman" w:hint="eastAsia"/>
          <w:sz w:val="24"/>
          <w:szCs w:val="24"/>
        </w:rPr>
        <w:t>主要产品</w:t>
      </w:r>
      <w:r w:rsidR="00066400">
        <w:rPr>
          <w:rFonts w:ascii="黑体" w:eastAsia="黑体" w:hAnsi="黑体" w:cs="Times New Roman" w:hint="eastAsia"/>
          <w:sz w:val="24"/>
          <w:szCs w:val="24"/>
        </w:rPr>
        <w:t>收入、成本、毛利</w:t>
      </w:r>
      <w:r w:rsidR="00431DE2" w:rsidRPr="00431DE2">
        <w:rPr>
          <w:rFonts w:ascii="黑体" w:eastAsia="黑体" w:hAnsi="黑体" w:cs="Times New Roman" w:hint="eastAsia"/>
          <w:sz w:val="24"/>
          <w:szCs w:val="24"/>
        </w:rPr>
        <w:t>变动表</w:t>
      </w:r>
      <w:r w:rsidRPr="00431DE2">
        <w:rPr>
          <w:rFonts w:ascii="黑体" w:eastAsia="黑体" w:hAnsi="黑体" w:cs="Times New Roman" w:hint="eastAsia"/>
          <w:sz w:val="24"/>
          <w:szCs w:val="24"/>
        </w:rPr>
        <w:t xml:space="preserve">      </w:t>
      </w:r>
    </w:p>
    <w:p w:rsidR="006E4E9D" w:rsidRDefault="00431DE2" w:rsidP="00376E7D">
      <w:pPr>
        <w:pStyle w:val="a9"/>
        <w:snapToGrid w:val="0"/>
        <w:spacing w:line="348" w:lineRule="auto"/>
        <w:ind w:left="786" w:firstLineChars="0" w:firstLine="0"/>
        <w:rPr>
          <w:rFonts w:ascii="Times New Roman" w:hAnsi="Times New Roman" w:cs="Times New Roman"/>
          <w:sz w:val="24"/>
          <w:szCs w:val="24"/>
        </w:rPr>
      </w:pPr>
      <w:r>
        <w:rPr>
          <w:rFonts w:ascii="黑体" w:eastAsia="黑体" w:hAnsi="黑体" w:cs="Times New Roman" w:hint="eastAsia"/>
          <w:sz w:val="24"/>
          <w:szCs w:val="24"/>
        </w:rPr>
        <w:t xml:space="preserve">       </w:t>
      </w:r>
      <w:r w:rsidR="0078615C">
        <w:rPr>
          <w:rFonts w:ascii="Times New Roman" w:hAnsi="Times New Roman" w:cs="Times New Roman" w:hint="eastAsia"/>
          <w:sz w:val="24"/>
          <w:szCs w:val="24"/>
        </w:rPr>
        <w:t xml:space="preserve">                                           </w:t>
      </w:r>
      <w:r w:rsidR="006E4E9D">
        <w:rPr>
          <w:rFonts w:ascii="Times New Roman" w:hAnsi="Times New Roman" w:cs="Times New Roman" w:hint="eastAsia"/>
          <w:sz w:val="24"/>
          <w:szCs w:val="24"/>
        </w:rPr>
        <w:t>单位：万元</w:t>
      </w:r>
    </w:p>
    <w:tbl>
      <w:tblPr>
        <w:tblW w:w="9498" w:type="dxa"/>
        <w:tblInd w:w="-601" w:type="dxa"/>
        <w:tblLook w:val="04A0"/>
      </w:tblPr>
      <w:tblGrid>
        <w:gridCol w:w="779"/>
        <w:gridCol w:w="736"/>
        <w:gridCol w:w="736"/>
        <w:gridCol w:w="796"/>
        <w:gridCol w:w="736"/>
        <w:gridCol w:w="736"/>
        <w:gridCol w:w="681"/>
        <w:gridCol w:w="736"/>
        <w:gridCol w:w="793"/>
        <w:gridCol w:w="636"/>
        <w:gridCol w:w="715"/>
        <w:gridCol w:w="692"/>
        <w:gridCol w:w="726"/>
      </w:tblGrid>
      <w:tr w:rsidR="006E4E9D" w:rsidRPr="001117B3" w:rsidTr="006E4E9D">
        <w:trPr>
          <w:trHeight w:val="570"/>
        </w:trPr>
        <w:tc>
          <w:tcPr>
            <w:tcW w:w="7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主要产品</w:t>
            </w:r>
          </w:p>
        </w:tc>
        <w:tc>
          <w:tcPr>
            <w:tcW w:w="2268" w:type="dxa"/>
            <w:gridSpan w:val="3"/>
            <w:tcBorders>
              <w:top w:val="single" w:sz="8" w:space="0" w:color="auto"/>
              <w:left w:val="nil"/>
              <w:bottom w:val="single" w:sz="4" w:space="0" w:color="auto"/>
              <w:right w:val="single" w:sz="4" w:space="0" w:color="auto"/>
            </w:tcBorders>
            <w:shd w:val="clear" w:color="auto" w:fill="auto"/>
            <w:noWrap/>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2016</w:t>
            </w:r>
            <w:r w:rsidRPr="001117B3">
              <w:rPr>
                <w:color w:val="000000"/>
                <w:kern w:val="0"/>
                <w:sz w:val="13"/>
                <w:szCs w:val="13"/>
              </w:rPr>
              <w:t>年度</w:t>
            </w:r>
          </w:p>
        </w:tc>
        <w:tc>
          <w:tcPr>
            <w:tcW w:w="2153" w:type="dxa"/>
            <w:gridSpan w:val="3"/>
            <w:tcBorders>
              <w:top w:val="single" w:sz="8" w:space="0" w:color="auto"/>
              <w:left w:val="nil"/>
              <w:bottom w:val="single" w:sz="4" w:space="0" w:color="auto"/>
              <w:right w:val="single" w:sz="4" w:space="0" w:color="auto"/>
            </w:tcBorders>
            <w:shd w:val="clear" w:color="auto" w:fill="auto"/>
            <w:noWrap/>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2015</w:t>
            </w:r>
            <w:r w:rsidRPr="001117B3">
              <w:rPr>
                <w:color w:val="000000"/>
                <w:kern w:val="0"/>
                <w:sz w:val="13"/>
                <w:szCs w:val="13"/>
              </w:rPr>
              <w:t>年度</w:t>
            </w:r>
          </w:p>
        </w:tc>
        <w:tc>
          <w:tcPr>
            <w:tcW w:w="2147" w:type="dxa"/>
            <w:gridSpan w:val="3"/>
            <w:tcBorders>
              <w:top w:val="single" w:sz="8" w:space="0" w:color="auto"/>
              <w:left w:val="nil"/>
              <w:bottom w:val="single" w:sz="4" w:space="0" w:color="auto"/>
              <w:right w:val="single" w:sz="4" w:space="0" w:color="auto"/>
            </w:tcBorders>
            <w:shd w:val="clear" w:color="auto" w:fill="auto"/>
            <w:noWrap/>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2014</w:t>
            </w:r>
            <w:r w:rsidRPr="001117B3">
              <w:rPr>
                <w:color w:val="000000"/>
                <w:kern w:val="0"/>
                <w:sz w:val="13"/>
                <w:szCs w:val="13"/>
              </w:rPr>
              <w:t>年度</w:t>
            </w:r>
          </w:p>
        </w:tc>
        <w:tc>
          <w:tcPr>
            <w:tcW w:w="213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较</w:t>
            </w:r>
            <w:r w:rsidRPr="001117B3">
              <w:rPr>
                <w:color w:val="000000"/>
                <w:kern w:val="0"/>
                <w:sz w:val="13"/>
                <w:szCs w:val="13"/>
              </w:rPr>
              <w:t>2015</w:t>
            </w:r>
            <w:r w:rsidRPr="001117B3">
              <w:rPr>
                <w:color w:val="000000"/>
                <w:kern w:val="0"/>
                <w:sz w:val="13"/>
                <w:szCs w:val="13"/>
              </w:rPr>
              <w:t>年变动</w:t>
            </w:r>
          </w:p>
        </w:tc>
      </w:tr>
      <w:tr w:rsidR="006E4E9D" w:rsidRPr="001117B3" w:rsidTr="006E4E9D">
        <w:trPr>
          <w:trHeight w:val="570"/>
        </w:trPr>
        <w:tc>
          <w:tcPr>
            <w:tcW w:w="797" w:type="dxa"/>
            <w:vMerge/>
            <w:tcBorders>
              <w:top w:val="single" w:sz="8" w:space="0" w:color="auto"/>
              <w:left w:val="single" w:sz="8" w:space="0" w:color="auto"/>
              <w:bottom w:val="single" w:sz="4" w:space="0" w:color="auto"/>
              <w:right w:val="single" w:sz="4" w:space="0" w:color="auto"/>
            </w:tcBorders>
            <w:vAlign w:val="center"/>
            <w:hideMark/>
          </w:tcPr>
          <w:p w:rsidR="006E4E9D" w:rsidRPr="001117B3" w:rsidRDefault="006E4E9D" w:rsidP="00376E7D">
            <w:pPr>
              <w:widowControl/>
              <w:snapToGrid w:val="0"/>
              <w:spacing w:line="348" w:lineRule="auto"/>
              <w:jc w:val="left"/>
              <w:rPr>
                <w:color w:val="000000"/>
                <w:kern w:val="0"/>
                <w:sz w:val="13"/>
                <w:szCs w:val="13"/>
              </w:rPr>
            </w:pPr>
          </w:p>
        </w:tc>
        <w:tc>
          <w:tcPr>
            <w:tcW w:w="73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收入</w:t>
            </w:r>
          </w:p>
        </w:tc>
        <w:tc>
          <w:tcPr>
            <w:tcW w:w="73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成本</w:t>
            </w:r>
          </w:p>
        </w:tc>
        <w:tc>
          <w:tcPr>
            <w:tcW w:w="79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毛利</w:t>
            </w:r>
          </w:p>
        </w:tc>
        <w:tc>
          <w:tcPr>
            <w:tcW w:w="73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收入</w:t>
            </w:r>
          </w:p>
        </w:tc>
        <w:tc>
          <w:tcPr>
            <w:tcW w:w="73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成本</w:t>
            </w:r>
          </w:p>
        </w:tc>
        <w:tc>
          <w:tcPr>
            <w:tcW w:w="681"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毛利</w:t>
            </w:r>
          </w:p>
        </w:tc>
        <w:tc>
          <w:tcPr>
            <w:tcW w:w="736"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收入</w:t>
            </w:r>
          </w:p>
        </w:tc>
        <w:tc>
          <w:tcPr>
            <w:tcW w:w="794"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成本</w:t>
            </w:r>
          </w:p>
        </w:tc>
        <w:tc>
          <w:tcPr>
            <w:tcW w:w="617"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毛利</w:t>
            </w:r>
          </w:p>
        </w:tc>
        <w:tc>
          <w:tcPr>
            <w:tcW w:w="715"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收入</w:t>
            </w:r>
          </w:p>
        </w:tc>
        <w:tc>
          <w:tcPr>
            <w:tcW w:w="692" w:type="dxa"/>
            <w:tcBorders>
              <w:top w:val="nil"/>
              <w:left w:val="nil"/>
              <w:bottom w:val="single" w:sz="4" w:space="0" w:color="auto"/>
              <w:right w:val="single" w:sz="4"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成本</w:t>
            </w:r>
          </w:p>
        </w:tc>
        <w:tc>
          <w:tcPr>
            <w:tcW w:w="726" w:type="dxa"/>
            <w:tcBorders>
              <w:top w:val="nil"/>
              <w:left w:val="nil"/>
              <w:bottom w:val="single" w:sz="4" w:space="0" w:color="auto"/>
              <w:right w:val="single" w:sz="8" w:space="0" w:color="auto"/>
            </w:tcBorders>
            <w:shd w:val="clear" w:color="auto" w:fill="auto"/>
            <w:vAlign w:val="center"/>
            <w:hideMark/>
          </w:tcPr>
          <w:p w:rsidR="006E4E9D" w:rsidRPr="001117B3" w:rsidRDefault="006E4E9D" w:rsidP="00376E7D">
            <w:pPr>
              <w:widowControl/>
              <w:snapToGrid w:val="0"/>
              <w:spacing w:line="348" w:lineRule="auto"/>
              <w:jc w:val="center"/>
              <w:rPr>
                <w:color w:val="000000"/>
                <w:kern w:val="0"/>
                <w:sz w:val="13"/>
                <w:szCs w:val="13"/>
              </w:rPr>
            </w:pPr>
            <w:r w:rsidRPr="001117B3">
              <w:rPr>
                <w:color w:val="000000"/>
                <w:kern w:val="0"/>
                <w:sz w:val="13"/>
                <w:szCs w:val="13"/>
              </w:rPr>
              <w:t>毛利</w:t>
            </w:r>
          </w:p>
        </w:tc>
      </w:tr>
      <w:tr w:rsidR="00DA6837" w:rsidRPr="001117B3" w:rsidTr="006E4E9D">
        <w:trPr>
          <w:trHeight w:val="570"/>
        </w:trPr>
        <w:tc>
          <w:tcPr>
            <w:tcW w:w="797" w:type="dxa"/>
            <w:tcBorders>
              <w:top w:val="nil"/>
              <w:left w:val="single" w:sz="8" w:space="0" w:color="auto"/>
              <w:bottom w:val="single" w:sz="4" w:space="0" w:color="auto"/>
              <w:right w:val="single" w:sz="4" w:space="0" w:color="auto"/>
            </w:tcBorders>
            <w:shd w:val="clear" w:color="auto" w:fill="auto"/>
            <w:vAlign w:val="center"/>
            <w:hideMark/>
          </w:tcPr>
          <w:p w:rsidR="00DA6837" w:rsidRPr="001117B3" w:rsidRDefault="00DA6837" w:rsidP="00376E7D">
            <w:pPr>
              <w:widowControl/>
              <w:snapToGrid w:val="0"/>
              <w:spacing w:line="348" w:lineRule="auto"/>
              <w:rPr>
                <w:color w:val="000000"/>
                <w:kern w:val="0"/>
                <w:sz w:val="13"/>
                <w:szCs w:val="13"/>
              </w:rPr>
            </w:pPr>
            <w:r w:rsidRPr="001117B3">
              <w:rPr>
                <w:color w:val="000000"/>
                <w:kern w:val="0"/>
                <w:sz w:val="13"/>
                <w:szCs w:val="13"/>
              </w:rPr>
              <w:t>电子级薄膜材料</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21,401.72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24,129.16 </w:t>
            </w:r>
          </w:p>
        </w:tc>
        <w:tc>
          <w:tcPr>
            <w:tcW w:w="79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-2,727.44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22,540.66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21,426.82 </w:t>
            </w:r>
          </w:p>
        </w:tc>
        <w:tc>
          <w:tcPr>
            <w:tcW w:w="681"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1,113.84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26,221.27 </w:t>
            </w:r>
          </w:p>
        </w:tc>
        <w:tc>
          <w:tcPr>
            <w:tcW w:w="794"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24,959.21 </w:t>
            </w:r>
          </w:p>
        </w:tc>
        <w:tc>
          <w:tcPr>
            <w:tcW w:w="617"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1,262.06 </w:t>
            </w:r>
          </w:p>
        </w:tc>
        <w:tc>
          <w:tcPr>
            <w:tcW w:w="715"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-1,138.94 </w:t>
            </w:r>
          </w:p>
        </w:tc>
        <w:tc>
          <w:tcPr>
            <w:tcW w:w="692"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2,702.34 </w:t>
            </w:r>
          </w:p>
        </w:tc>
        <w:tc>
          <w:tcPr>
            <w:tcW w:w="726" w:type="dxa"/>
            <w:tcBorders>
              <w:top w:val="nil"/>
              <w:left w:val="nil"/>
              <w:bottom w:val="single" w:sz="4" w:space="0" w:color="auto"/>
              <w:right w:val="single" w:sz="8"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-3,841.28 </w:t>
            </w:r>
          </w:p>
        </w:tc>
      </w:tr>
      <w:tr w:rsidR="00DA6837" w:rsidRPr="001117B3" w:rsidTr="006E4E9D">
        <w:trPr>
          <w:trHeight w:val="570"/>
        </w:trPr>
        <w:tc>
          <w:tcPr>
            <w:tcW w:w="797" w:type="dxa"/>
            <w:tcBorders>
              <w:top w:val="nil"/>
              <w:left w:val="single" w:sz="8" w:space="0" w:color="auto"/>
              <w:bottom w:val="single" w:sz="4" w:space="0" w:color="auto"/>
              <w:right w:val="single" w:sz="4" w:space="0" w:color="auto"/>
            </w:tcBorders>
            <w:shd w:val="clear" w:color="auto" w:fill="auto"/>
            <w:vAlign w:val="center"/>
            <w:hideMark/>
          </w:tcPr>
          <w:p w:rsidR="00DA6837" w:rsidRPr="001117B3" w:rsidRDefault="00DA6837" w:rsidP="00376E7D">
            <w:pPr>
              <w:widowControl/>
              <w:snapToGrid w:val="0"/>
              <w:spacing w:line="348" w:lineRule="auto"/>
              <w:rPr>
                <w:color w:val="000000"/>
                <w:kern w:val="0"/>
                <w:sz w:val="13"/>
                <w:szCs w:val="13"/>
              </w:rPr>
            </w:pPr>
            <w:r w:rsidRPr="001117B3">
              <w:rPr>
                <w:color w:val="000000"/>
                <w:kern w:val="0"/>
                <w:sz w:val="13"/>
                <w:szCs w:val="13"/>
              </w:rPr>
              <w:t>电容器</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30,148.09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23,702.78 </w:t>
            </w:r>
          </w:p>
        </w:tc>
        <w:tc>
          <w:tcPr>
            <w:tcW w:w="79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6,445.31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26,831.72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22,152.82 </w:t>
            </w:r>
          </w:p>
        </w:tc>
        <w:tc>
          <w:tcPr>
            <w:tcW w:w="681"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4,678.90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28,360.53 </w:t>
            </w:r>
          </w:p>
        </w:tc>
        <w:tc>
          <w:tcPr>
            <w:tcW w:w="794"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23,285.70 </w:t>
            </w:r>
          </w:p>
        </w:tc>
        <w:tc>
          <w:tcPr>
            <w:tcW w:w="617"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5,074.83 </w:t>
            </w:r>
          </w:p>
        </w:tc>
        <w:tc>
          <w:tcPr>
            <w:tcW w:w="715"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3,316.37 </w:t>
            </w:r>
          </w:p>
        </w:tc>
        <w:tc>
          <w:tcPr>
            <w:tcW w:w="692"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1,549.96 </w:t>
            </w:r>
          </w:p>
        </w:tc>
        <w:tc>
          <w:tcPr>
            <w:tcW w:w="726" w:type="dxa"/>
            <w:tcBorders>
              <w:top w:val="nil"/>
              <w:left w:val="nil"/>
              <w:bottom w:val="single" w:sz="4" w:space="0" w:color="auto"/>
              <w:right w:val="single" w:sz="8"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1,766.41 </w:t>
            </w:r>
          </w:p>
        </w:tc>
      </w:tr>
      <w:tr w:rsidR="00DA6837" w:rsidRPr="001117B3" w:rsidTr="006E4E9D">
        <w:trPr>
          <w:trHeight w:val="570"/>
        </w:trPr>
        <w:tc>
          <w:tcPr>
            <w:tcW w:w="797" w:type="dxa"/>
            <w:tcBorders>
              <w:top w:val="nil"/>
              <w:left w:val="single" w:sz="8" w:space="0" w:color="auto"/>
              <w:bottom w:val="single" w:sz="4" w:space="0" w:color="auto"/>
              <w:right w:val="single" w:sz="4" w:space="0" w:color="auto"/>
            </w:tcBorders>
            <w:shd w:val="clear" w:color="auto" w:fill="auto"/>
            <w:vAlign w:val="center"/>
            <w:hideMark/>
          </w:tcPr>
          <w:p w:rsidR="00DA6837" w:rsidRPr="001117B3" w:rsidRDefault="00DA6837" w:rsidP="00376E7D">
            <w:pPr>
              <w:widowControl/>
              <w:snapToGrid w:val="0"/>
              <w:spacing w:line="348" w:lineRule="auto"/>
              <w:rPr>
                <w:color w:val="000000"/>
                <w:kern w:val="0"/>
                <w:sz w:val="13"/>
                <w:szCs w:val="13"/>
              </w:rPr>
            </w:pPr>
            <w:r w:rsidRPr="001117B3">
              <w:rPr>
                <w:color w:val="000000"/>
                <w:kern w:val="0"/>
                <w:sz w:val="13"/>
                <w:szCs w:val="13"/>
              </w:rPr>
              <w:t>晶体器件</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3,416.46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3,763.36 </w:t>
            </w:r>
          </w:p>
        </w:tc>
        <w:tc>
          <w:tcPr>
            <w:tcW w:w="79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-346.90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3,863.65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4,072.80 </w:t>
            </w:r>
          </w:p>
        </w:tc>
        <w:tc>
          <w:tcPr>
            <w:tcW w:w="681"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-209.15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7,966.25 </w:t>
            </w:r>
          </w:p>
        </w:tc>
        <w:tc>
          <w:tcPr>
            <w:tcW w:w="794"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7,898.87 </w:t>
            </w:r>
          </w:p>
        </w:tc>
        <w:tc>
          <w:tcPr>
            <w:tcW w:w="617"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67.38 </w:t>
            </w:r>
          </w:p>
        </w:tc>
        <w:tc>
          <w:tcPr>
            <w:tcW w:w="715"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-447.19 </w:t>
            </w:r>
          </w:p>
        </w:tc>
        <w:tc>
          <w:tcPr>
            <w:tcW w:w="692"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-309.45 </w:t>
            </w:r>
          </w:p>
        </w:tc>
        <w:tc>
          <w:tcPr>
            <w:tcW w:w="726" w:type="dxa"/>
            <w:tcBorders>
              <w:top w:val="nil"/>
              <w:left w:val="nil"/>
              <w:bottom w:val="single" w:sz="4" w:space="0" w:color="auto"/>
              <w:right w:val="single" w:sz="8"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-137.75 </w:t>
            </w:r>
          </w:p>
        </w:tc>
      </w:tr>
      <w:tr w:rsidR="00DA6837" w:rsidRPr="001117B3" w:rsidTr="006E4E9D">
        <w:trPr>
          <w:trHeight w:val="570"/>
        </w:trPr>
        <w:tc>
          <w:tcPr>
            <w:tcW w:w="797" w:type="dxa"/>
            <w:tcBorders>
              <w:top w:val="nil"/>
              <w:left w:val="single" w:sz="8" w:space="0" w:color="auto"/>
              <w:bottom w:val="single" w:sz="4" w:space="0" w:color="auto"/>
              <w:right w:val="single" w:sz="4" w:space="0" w:color="auto"/>
            </w:tcBorders>
            <w:shd w:val="clear" w:color="auto" w:fill="auto"/>
            <w:vAlign w:val="center"/>
            <w:hideMark/>
          </w:tcPr>
          <w:p w:rsidR="00DA6837" w:rsidRPr="001117B3" w:rsidRDefault="00DA6837" w:rsidP="00376E7D">
            <w:pPr>
              <w:widowControl/>
              <w:snapToGrid w:val="0"/>
              <w:spacing w:line="348" w:lineRule="auto"/>
              <w:rPr>
                <w:color w:val="000000"/>
                <w:kern w:val="0"/>
                <w:sz w:val="13"/>
                <w:szCs w:val="13"/>
              </w:rPr>
            </w:pPr>
            <w:r w:rsidRPr="001117B3">
              <w:rPr>
                <w:color w:val="000000"/>
                <w:kern w:val="0"/>
                <w:sz w:val="13"/>
                <w:szCs w:val="13"/>
              </w:rPr>
              <w:t>再生树脂</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1,432.21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921.89 </w:t>
            </w:r>
          </w:p>
        </w:tc>
        <w:tc>
          <w:tcPr>
            <w:tcW w:w="79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510.32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2,184.08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1,184.85 </w:t>
            </w:r>
          </w:p>
        </w:tc>
        <w:tc>
          <w:tcPr>
            <w:tcW w:w="681"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999.23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2,861.30 </w:t>
            </w:r>
          </w:p>
        </w:tc>
        <w:tc>
          <w:tcPr>
            <w:tcW w:w="794"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1,420.84 </w:t>
            </w:r>
          </w:p>
        </w:tc>
        <w:tc>
          <w:tcPr>
            <w:tcW w:w="617"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1,440.46 </w:t>
            </w:r>
          </w:p>
        </w:tc>
        <w:tc>
          <w:tcPr>
            <w:tcW w:w="715"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-751.87 </w:t>
            </w:r>
          </w:p>
        </w:tc>
        <w:tc>
          <w:tcPr>
            <w:tcW w:w="692"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-262.96 </w:t>
            </w:r>
          </w:p>
        </w:tc>
        <w:tc>
          <w:tcPr>
            <w:tcW w:w="726" w:type="dxa"/>
            <w:tcBorders>
              <w:top w:val="nil"/>
              <w:left w:val="nil"/>
              <w:bottom w:val="single" w:sz="4" w:space="0" w:color="auto"/>
              <w:right w:val="single" w:sz="8"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-488.91 </w:t>
            </w:r>
          </w:p>
        </w:tc>
      </w:tr>
      <w:tr w:rsidR="00DA6837" w:rsidRPr="001117B3" w:rsidTr="006E4E9D">
        <w:trPr>
          <w:trHeight w:val="570"/>
        </w:trPr>
        <w:tc>
          <w:tcPr>
            <w:tcW w:w="797" w:type="dxa"/>
            <w:tcBorders>
              <w:top w:val="nil"/>
              <w:left w:val="single" w:sz="8" w:space="0" w:color="auto"/>
              <w:bottom w:val="single" w:sz="4" w:space="0" w:color="auto"/>
              <w:right w:val="single" w:sz="4" w:space="0" w:color="auto"/>
            </w:tcBorders>
            <w:shd w:val="clear" w:color="auto" w:fill="auto"/>
            <w:vAlign w:val="center"/>
            <w:hideMark/>
          </w:tcPr>
          <w:p w:rsidR="00DA6837" w:rsidRPr="001117B3" w:rsidRDefault="00DA6837" w:rsidP="00376E7D">
            <w:pPr>
              <w:widowControl/>
              <w:snapToGrid w:val="0"/>
              <w:spacing w:line="348" w:lineRule="auto"/>
              <w:rPr>
                <w:color w:val="000000"/>
                <w:kern w:val="0"/>
                <w:sz w:val="13"/>
                <w:szCs w:val="13"/>
              </w:rPr>
            </w:pPr>
            <w:r w:rsidRPr="001117B3">
              <w:rPr>
                <w:color w:val="000000"/>
                <w:kern w:val="0"/>
                <w:sz w:val="13"/>
                <w:szCs w:val="13"/>
              </w:rPr>
              <w:t>LED</w:t>
            </w:r>
            <w:r w:rsidRPr="001117B3">
              <w:rPr>
                <w:color w:val="000000"/>
                <w:kern w:val="0"/>
                <w:sz w:val="13"/>
                <w:szCs w:val="13"/>
              </w:rPr>
              <w:t>支架</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1,056.07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3,139.77 </w:t>
            </w:r>
          </w:p>
        </w:tc>
        <w:tc>
          <w:tcPr>
            <w:tcW w:w="79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-2,083.70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2,523.47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3,677.44 </w:t>
            </w:r>
          </w:p>
        </w:tc>
        <w:tc>
          <w:tcPr>
            <w:tcW w:w="681"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-1,153.97 </w:t>
            </w:r>
          </w:p>
        </w:tc>
        <w:tc>
          <w:tcPr>
            <w:tcW w:w="736"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rFonts w:ascii="宋体" w:hAnsi="宋体" w:cs="宋体"/>
                <w:color w:val="000000"/>
                <w:sz w:val="12"/>
                <w:szCs w:val="12"/>
              </w:rPr>
            </w:pPr>
            <w:r>
              <w:rPr>
                <w:rFonts w:hint="eastAsia"/>
                <w:color w:val="000000"/>
                <w:sz w:val="12"/>
                <w:szCs w:val="12"/>
              </w:rPr>
              <w:t xml:space="preserve">　</w:t>
            </w:r>
          </w:p>
        </w:tc>
        <w:tc>
          <w:tcPr>
            <w:tcW w:w="794"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rFonts w:ascii="宋体" w:hAnsi="宋体" w:cs="宋体"/>
                <w:color w:val="000000"/>
                <w:sz w:val="12"/>
                <w:szCs w:val="12"/>
              </w:rPr>
            </w:pPr>
            <w:r>
              <w:rPr>
                <w:rFonts w:hint="eastAsia"/>
                <w:color w:val="000000"/>
                <w:sz w:val="12"/>
                <w:szCs w:val="12"/>
              </w:rPr>
              <w:t xml:space="preserve">　</w:t>
            </w:r>
          </w:p>
        </w:tc>
        <w:tc>
          <w:tcPr>
            <w:tcW w:w="617"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p>
        </w:tc>
        <w:tc>
          <w:tcPr>
            <w:tcW w:w="715"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-1,467.40 </w:t>
            </w:r>
          </w:p>
        </w:tc>
        <w:tc>
          <w:tcPr>
            <w:tcW w:w="692" w:type="dxa"/>
            <w:tcBorders>
              <w:top w:val="nil"/>
              <w:left w:val="nil"/>
              <w:bottom w:val="single" w:sz="4" w:space="0" w:color="auto"/>
              <w:right w:val="single" w:sz="4"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-537.67 </w:t>
            </w:r>
          </w:p>
        </w:tc>
        <w:tc>
          <w:tcPr>
            <w:tcW w:w="726" w:type="dxa"/>
            <w:tcBorders>
              <w:top w:val="nil"/>
              <w:left w:val="nil"/>
              <w:bottom w:val="single" w:sz="4" w:space="0" w:color="auto"/>
              <w:right w:val="single" w:sz="8" w:space="0" w:color="auto"/>
            </w:tcBorders>
            <w:shd w:val="clear" w:color="auto" w:fill="auto"/>
            <w:vAlign w:val="center"/>
            <w:hideMark/>
          </w:tcPr>
          <w:p w:rsidR="00DA6837" w:rsidRDefault="00DA6837" w:rsidP="00376E7D">
            <w:pPr>
              <w:snapToGrid w:val="0"/>
              <w:spacing w:line="348" w:lineRule="auto"/>
              <w:jc w:val="right"/>
              <w:rPr>
                <w:color w:val="000000"/>
                <w:sz w:val="12"/>
                <w:szCs w:val="12"/>
              </w:rPr>
            </w:pPr>
            <w:r>
              <w:rPr>
                <w:color w:val="000000"/>
                <w:sz w:val="12"/>
                <w:szCs w:val="12"/>
              </w:rPr>
              <w:t xml:space="preserve">-929.73 </w:t>
            </w:r>
          </w:p>
        </w:tc>
      </w:tr>
      <w:tr w:rsidR="00DA6837" w:rsidRPr="001117B3" w:rsidTr="006E4E9D">
        <w:trPr>
          <w:trHeight w:val="570"/>
        </w:trPr>
        <w:tc>
          <w:tcPr>
            <w:tcW w:w="797" w:type="dxa"/>
            <w:tcBorders>
              <w:top w:val="nil"/>
              <w:left w:val="single" w:sz="8" w:space="0" w:color="auto"/>
              <w:bottom w:val="single" w:sz="8" w:space="0" w:color="auto"/>
              <w:right w:val="single" w:sz="4" w:space="0" w:color="auto"/>
            </w:tcBorders>
            <w:shd w:val="clear" w:color="auto" w:fill="auto"/>
            <w:vAlign w:val="center"/>
            <w:hideMark/>
          </w:tcPr>
          <w:p w:rsidR="00DA6837" w:rsidRPr="002E3CC6" w:rsidRDefault="00DA6837" w:rsidP="00376E7D">
            <w:pPr>
              <w:widowControl/>
              <w:snapToGrid w:val="0"/>
              <w:spacing w:line="348" w:lineRule="auto"/>
              <w:jc w:val="center"/>
              <w:rPr>
                <w:b/>
                <w:color w:val="000000"/>
                <w:kern w:val="0"/>
                <w:sz w:val="13"/>
                <w:szCs w:val="13"/>
              </w:rPr>
            </w:pPr>
            <w:r w:rsidRPr="002E3CC6">
              <w:rPr>
                <w:b/>
                <w:color w:val="000000"/>
                <w:kern w:val="0"/>
                <w:sz w:val="13"/>
                <w:szCs w:val="13"/>
              </w:rPr>
              <w:t>合计</w:t>
            </w:r>
          </w:p>
        </w:tc>
        <w:tc>
          <w:tcPr>
            <w:tcW w:w="73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57,454.55 </w:t>
            </w:r>
          </w:p>
        </w:tc>
        <w:tc>
          <w:tcPr>
            <w:tcW w:w="73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55,656.96 </w:t>
            </w:r>
          </w:p>
        </w:tc>
        <w:tc>
          <w:tcPr>
            <w:tcW w:w="79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1,797.59 </w:t>
            </w:r>
          </w:p>
        </w:tc>
        <w:tc>
          <w:tcPr>
            <w:tcW w:w="73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57,943.58 </w:t>
            </w:r>
          </w:p>
        </w:tc>
        <w:tc>
          <w:tcPr>
            <w:tcW w:w="73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52,514.73 </w:t>
            </w:r>
          </w:p>
        </w:tc>
        <w:tc>
          <w:tcPr>
            <w:tcW w:w="681"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5,428.85 </w:t>
            </w:r>
          </w:p>
        </w:tc>
        <w:tc>
          <w:tcPr>
            <w:tcW w:w="736"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65,409.35 </w:t>
            </w:r>
          </w:p>
        </w:tc>
        <w:tc>
          <w:tcPr>
            <w:tcW w:w="794"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57,564.62 </w:t>
            </w:r>
          </w:p>
        </w:tc>
        <w:tc>
          <w:tcPr>
            <w:tcW w:w="617"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7,844.73 </w:t>
            </w:r>
          </w:p>
        </w:tc>
        <w:tc>
          <w:tcPr>
            <w:tcW w:w="715"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-489.02 </w:t>
            </w:r>
          </w:p>
        </w:tc>
        <w:tc>
          <w:tcPr>
            <w:tcW w:w="692" w:type="dxa"/>
            <w:tcBorders>
              <w:top w:val="nil"/>
              <w:left w:val="nil"/>
              <w:bottom w:val="single" w:sz="8" w:space="0" w:color="auto"/>
              <w:right w:val="single" w:sz="4"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3,142.23 </w:t>
            </w:r>
          </w:p>
        </w:tc>
        <w:tc>
          <w:tcPr>
            <w:tcW w:w="726" w:type="dxa"/>
            <w:tcBorders>
              <w:top w:val="nil"/>
              <w:left w:val="nil"/>
              <w:bottom w:val="single" w:sz="8" w:space="0" w:color="auto"/>
              <w:right w:val="single" w:sz="8" w:space="0" w:color="auto"/>
            </w:tcBorders>
            <w:shd w:val="clear" w:color="auto" w:fill="auto"/>
            <w:vAlign w:val="center"/>
            <w:hideMark/>
          </w:tcPr>
          <w:p w:rsidR="00DA6837" w:rsidRPr="002E3CC6" w:rsidRDefault="00DA6837" w:rsidP="00376E7D">
            <w:pPr>
              <w:snapToGrid w:val="0"/>
              <w:spacing w:line="348" w:lineRule="auto"/>
              <w:jc w:val="right"/>
              <w:rPr>
                <w:b/>
                <w:color w:val="000000"/>
                <w:sz w:val="12"/>
                <w:szCs w:val="12"/>
              </w:rPr>
            </w:pPr>
            <w:r w:rsidRPr="002E3CC6">
              <w:rPr>
                <w:b/>
                <w:color w:val="000000"/>
                <w:sz w:val="12"/>
                <w:szCs w:val="12"/>
              </w:rPr>
              <w:t xml:space="preserve">-3,631.26 </w:t>
            </w:r>
          </w:p>
        </w:tc>
      </w:tr>
    </w:tbl>
    <w:p w:rsidR="00123425" w:rsidRDefault="00123425" w:rsidP="00376E7D">
      <w:pPr>
        <w:snapToGrid w:val="0"/>
        <w:spacing w:line="348" w:lineRule="auto"/>
        <w:ind w:firstLineChars="200" w:firstLine="480"/>
        <w:rPr>
          <w:sz w:val="24"/>
          <w:szCs w:val="24"/>
        </w:rPr>
      </w:pPr>
    </w:p>
    <w:p w:rsidR="003B7009" w:rsidRDefault="00213C34" w:rsidP="00376E7D">
      <w:pPr>
        <w:snapToGrid w:val="0"/>
        <w:spacing w:line="348" w:lineRule="auto"/>
        <w:rPr>
          <w:sz w:val="24"/>
          <w:szCs w:val="24"/>
        </w:rPr>
      </w:pPr>
      <w:r>
        <w:rPr>
          <w:rFonts w:hint="eastAsia"/>
          <w:sz w:val="24"/>
          <w:szCs w:val="24"/>
        </w:rPr>
        <w:t xml:space="preserve">   </w:t>
      </w:r>
      <w:r w:rsidR="006E4E9D">
        <w:rPr>
          <w:rFonts w:hint="eastAsia"/>
          <w:sz w:val="24"/>
          <w:szCs w:val="24"/>
        </w:rPr>
        <w:t>（</w:t>
      </w:r>
      <w:r w:rsidR="00B90A0E">
        <w:rPr>
          <w:rFonts w:hint="eastAsia"/>
          <w:sz w:val="24"/>
          <w:szCs w:val="24"/>
        </w:rPr>
        <w:t>1</w:t>
      </w:r>
      <w:r w:rsidR="006E4E9D">
        <w:rPr>
          <w:rFonts w:hint="eastAsia"/>
          <w:sz w:val="24"/>
          <w:szCs w:val="24"/>
        </w:rPr>
        <w:t>）</w:t>
      </w:r>
      <w:r w:rsidR="006E4E9D">
        <w:rPr>
          <w:rFonts w:hint="eastAsia"/>
          <w:sz w:val="24"/>
          <w:szCs w:val="24"/>
        </w:rPr>
        <w:t>201</w:t>
      </w:r>
      <w:r w:rsidR="00187908">
        <w:rPr>
          <w:rFonts w:hint="eastAsia"/>
          <w:sz w:val="24"/>
          <w:szCs w:val="24"/>
        </w:rPr>
        <w:t>1</w:t>
      </w:r>
      <w:r w:rsidR="006E4E9D">
        <w:rPr>
          <w:rFonts w:hint="eastAsia"/>
          <w:sz w:val="24"/>
          <w:szCs w:val="24"/>
        </w:rPr>
        <w:t>年</w:t>
      </w:r>
      <w:r w:rsidR="00187908">
        <w:rPr>
          <w:rFonts w:hint="eastAsia"/>
          <w:sz w:val="24"/>
          <w:szCs w:val="24"/>
        </w:rPr>
        <w:t>前后，国内经济形势</w:t>
      </w:r>
      <w:r w:rsidR="00CC5678">
        <w:rPr>
          <w:rFonts w:hint="eastAsia"/>
          <w:sz w:val="24"/>
          <w:szCs w:val="24"/>
        </w:rPr>
        <w:t>出现</w:t>
      </w:r>
      <w:r w:rsidR="00187908">
        <w:rPr>
          <w:rFonts w:hint="eastAsia"/>
          <w:sz w:val="24"/>
          <w:szCs w:val="24"/>
        </w:rPr>
        <w:t>短暂</w:t>
      </w:r>
      <w:r w:rsidR="00CC5678">
        <w:rPr>
          <w:rFonts w:hint="eastAsia"/>
          <w:sz w:val="24"/>
          <w:szCs w:val="24"/>
        </w:rPr>
        <w:t>复苏</w:t>
      </w:r>
      <w:r w:rsidR="00187908">
        <w:rPr>
          <w:rFonts w:hint="eastAsia"/>
          <w:sz w:val="24"/>
          <w:szCs w:val="24"/>
        </w:rPr>
        <w:t>势头，电子级薄膜市场需求旺盛，吸引了大量资本进入电子级薄膜行业。国内多家薄膜生产企业也纷纷增加投资新建生产线，大幅扩产，行业</w:t>
      </w:r>
      <w:r w:rsidR="00187908" w:rsidRPr="00187908">
        <w:rPr>
          <w:rFonts w:hint="eastAsia"/>
          <w:sz w:val="24"/>
          <w:szCs w:val="24"/>
        </w:rPr>
        <w:t>产能从</w:t>
      </w:r>
      <w:r w:rsidR="00187908" w:rsidRPr="00187908">
        <w:rPr>
          <w:rFonts w:hint="eastAsia"/>
          <w:sz w:val="24"/>
          <w:szCs w:val="24"/>
        </w:rPr>
        <w:t>2011</w:t>
      </w:r>
      <w:r w:rsidR="00187908" w:rsidRPr="00187908">
        <w:rPr>
          <w:rFonts w:hint="eastAsia"/>
          <w:sz w:val="24"/>
          <w:szCs w:val="24"/>
        </w:rPr>
        <w:t>年</w:t>
      </w:r>
      <w:r w:rsidR="00187908" w:rsidRPr="00187908">
        <w:rPr>
          <w:rFonts w:hint="eastAsia"/>
          <w:sz w:val="24"/>
          <w:szCs w:val="24"/>
        </w:rPr>
        <w:t>7.4</w:t>
      </w:r>
      <w:r w:rsidR="00187908" w:rsidRPr="00187908">
        <w:rPr>
          <w:rFonts w:hint="eastAsia"/>
          <w:sz w:val="24"/>
          <w:szCs w:val="24"/>
        </w:rPr>
        <w:t>万吨到</w:t>
      </w:r>
      <w:r w:rsidR="00187908" w:rsidRPr="00187908">
        <w:rPr>
          <w:rFonts w:hint="eastAsia"/>
          <w:sz w:val="24"/>
          <w:szCs w:val="24"/>
        </w:rPr>
        <w:t>2015</w:t>
      </w:r>
      <w:r w:rsidR="00187908" w:rsidRPr="00187908">
        <w:rPr>
          <w:rFonts w:hint="eastAsia"/>
          <w:sz w:val="24"/>
          <w:szCs w:val="24"/>
        </w:rPr>
        <w:t>年间骤增到</w:t>
      </w:r>
      <w:r w:rsidR="00187908" w:rsidRPr="00187908">
        <w:rPr>
          <w:rFonts w:hint="eastAsia"/>
          <w:sz w:val="24"/>
          <w:szCs w:val="24"/>
        </w:rPr>
        <w:t>11</w:t>
      </w:r>
      <w:r w:rsidR="00187908">
        <w:rPr>
          <w:rFonts w:hint="eastAsia"/>
          <w:sz w:val="24"/>
          <w:szCs w:val="24"/>
        </w:rPr>
        <w:t>万吨。新增产能自</w:t>
      </w:r>
      <w:r w:rsidR="006E4E9D">
        <w:rPr>
          <w:rFonts w:hint="eastAsia"/>
          <w:sz w:val="24"/>
          <w:szCs w:val="24"/>
        </w:rPr>
        <w:t>2014</w:t>
      </w:r>
      <w:r w:rsidR="006E4E9D">
        <w:rPr>
          <w:rFonts w:hint="eastAsia"/>
          <w:sz w:val="24"/>
          <w:szCs w:val="24"/>
        </w:rPr>
        <w:t>年</w:t>
      </w:r>
      <w:r w:rsidR="00187908">
        <w:rPr>
          <w:rFonts w:hint="eastAsia"/>
          <w:sz w:val="24"/>
          <w:szCs w:val="24"/>
        </w:rPr>
        <w:t>起开始陆续释放，致使市场供求关系发生急剧转变，产品价格加速下滑，</w:t>
      </w:r>
      <w:r w:rsidR="00187908" w:rsidRPr="00187908">
        <w:rPr>
          <w:rFonts w:hint="eastAsia"/>
          <w:sz w:val="24"/>
          <w:szCs w:val="24"/>
        </w:rPr>
        <w:t>与</w:t>
      </w:r>
      <w:r w:rsidR="00187908" w:rsidRPr="00187908">
        <w:rPr>
          <w:rFonts w:hint="eastAsia"/>
          <w:sz w:val="24"/>
          <w:szCs w:val="24"/>
        </w:rPr>
        <w:t>2010</w:t>
      </w:r>
      <w:r w:rsidR="00187908" w:rsidRPr="00187908">
        <w:rPr>
          <w:rFonts w:hint="eastAsia"/>
          <w:sz w:val="24"/>
          <w:szCs w:val="24"/>
        </w:rPr>
        <w:t>年相比</w:t>
      </w:r>
      <w:r w:rsidR="003B7009">
        <w:rPr>
          <w:rFonts w:hint="eastAsia"/>
          <w:sz w:val="24"/>
          <w:szCs w:val="24"/>
        </w:rPr>
        <w:t>销</w:t>
      </w:r>
      <w:r w:rsidR="00CC5678">
        <w:rPr>
          <w:rFonts w:hint="eastAsia"/>
          <w:sz w:val="24"/>
          <w:szCs w:val="24"/>
        </w:rPr>
        <w:t>售价</w:t>
      </w:r>
      <w:r w:rsidR="003B7009">
        <w:rPr>
          <w:rFonts w:hint="eastAsia"/>
          <w:sz w:val="24"/>
          <w:szCs w:val="24"/>
        </w:rPr>
        <w:t>格</w:t>
      </w:r>
      <w:r w:rsidR="00187908" w:rsidRPr="00187908">
        <w:rPr>
          <w:rFonts w:hint="eastAsia"/>
          <w:sz w:val="24"/>
          <w:szCs w:val="24"/>
        </w:rPr>
        <w:t>平均下降</w:t>
      </w:r>
      <w:r w:rsidR="00187908" w:rsidRPr="00187908">
        <w:rPr>
          <w:rFonts w:hint="eastAsia"/>
          <w:sz w:val="24"/>
          <w:szCs w:val="24"/>
        </w:rPr>
        <w:t>40%</w:t>
      </w:r>
      <w:r w:rsidR="00187908">
        <w:rPr>
          <w:rFonts w:hint="eastAsia"/>
          <w:sz w:val="24"/>
          <w:szCs w:val="24"/>
        </w:rPr>
        <w:t>。</w:t>
      </w:r>
      <w:r w:rsidR="003B7009">
        <w:rPr>
          <w:rFonts w:hint="eastAsia"/>
          <w:sz w:val="24"/>
          <w:szCs w:val="24"/>
        </w:rPr>
        <w:t>加上近几年</w:t>
      </w:r>
      <w:r w:rsidR="006E4E9D">
        <w:rPr>
          <w:rFonts w:hint="eastAsia"/>
          <w:sz w:val="24"/>
          <w:szCs w:val="24"/>
        </w:rPr>
        <w:t>国内经济增速放缓，实体经济特别是制造业形势严峻，</w:t>
      </w:r>
      <w:r w:rsidR="003B7009">
        <w:rPr>
          <w:rFonts w:hint="eastAsia"/>
          <w:sz w:val="24"/>
          <w:szCs w:val="24"/>
        </w:rPr>
        <w:t>薄膜行业</w:t>
      </w:r>
      <w:r w:rsidR="00CC5678">
        <w:rPr>
          <w:rFonts w:hint="eastAsia"/>
          <w:sz w:val="24"/>
          <w:szCs w:val="24"/>
        </w:rPr>
        <w:t>下游需求减少，</w:t>
      </w:r>
      <w:r w:rsidR="003B7009">
        <w:rPr>
          <w:rFonts w:hint="eastAsia"/>
          <w:sz w:val="24"/>
          <w:szCs w:val="24"/>
        </w:rPr>
        <w:t>致使</w:t>
      </w:r>
      <w:r w:rsidR="00BC764E">
        <w:rPr>
          <w:rFonts w:hint="eastAsia"/>
          <w:sz w:val="24"/>
          <w:szCs w:val="24"/>
        </w:rPr>
        <w:t>行</w:t>
      </w:r>
      <w:r w:rsidR="007044EB">
        <w:rPr>
          <w:rFonts w:hint="eastAsia"/>
          <w:sz w:val="24"/>
          <w:szCs w:val="24"/>
        </w:rPr>
        <w:t>业</w:t>
      </w:r>
      <w:r w:rsidR="003B7009" w:rsidRPr="003B7009">
        <w:rPr>
          <w:sz w:val="24"/>
          <w:szCs w:val="24"/>
        </w:rPr>
        <w:t>竞争</w:t>
      </w:r>
      <w:r w:rsidR="003B7009" w:rsidRPr="003B7009">
        <w:rPr>
          <w:rFonts w:hint="eastAsia"/>
          <w:sz w:val="24"/>
          <w:szCs w:val="24"/>
        </w:rPr>
        <w:t>日益升级，价格战越演越烈</w:t>
      </w:r>
      <w:r w:rsidR="003B7009">
        <w:rPr>
          <w:rFonts w:hint="eastAsia"/>
          <w:sz w:val="24"/>
          <w:szCs w:val="24"/>
        </w:rPr>
        <w:t>，特别是在中低端薄膜市场，同质化</w:t>
      </w:r>
      <w:r w:rsidR="005778E9">
        <w:rPr>
          <w:rFonts w:hint="eastAsia"/>
          <w:sz w:val="24"/>
          <w:szCs w:val="24"/>
        </w:rPr>
        <w:t>竞争带来</w:t>
      </w:r>
      <w:r w:rsidR="003B7009">
        <w:rPr>
          <w:rFonts w:hint="eastAsia"/>
          <w:sz w:val="24"/>
          <w:szCs w:val="24"/>
        </w:rPr>
        <w:t>价格持续下跌。</w:t>
      </w:r>
      <w:r w:rsidR="006E4E9D">
        <w:rPr>
          <w:rFonts w:hint="eastAsia"/>
          <w:sz w:val="24"/>
          <w:szCs w:val="24"/>
        </w:rPr>
        <w:t>公司主要产品聚丙膜</w:t>
      </w:r>
      <w:r w:rsidR="006E4E9D">
        <w:rPr>
          <w:rFonts w:hint="eastAsia"/>
          <w:sz w:val="24"/>
          <w:szCs w:val="24"/>
        </w:rPr>
        <w:t>2016</w:t>
      </w:r>
      <w:r w:rsidR="006E4E9D">
        <w:rPr>
          <w:rFonts w:hint="eastAsia"/>
          <w:sz w:val="24"/>
          <w:szCs w:val="24"/>
        </w:rPr>
        <w:t>年平均售价较</w:t>
      </w:r>
      <w:r w:rsidR="006E4E9D">
        <w:rPr>
          <w:rFonts w:hint="eastAsia"/>
          <w:sz w:val="24"/>
          <w:szCs w:val="24"/>
        </w:rPr>
        <w:t>2015</w:t>
      </w:r>
      <w:r w:rsidR="006E4E9D">
        <w:rPr>
          <w:rFonts w:hint="eastAsia"/>
          <w:sz w:val="24"/>
          <w:szCs w:val="24"/>
        </w:rPr>
        <w:t>年下降</w:t>
      </w:r>
      <w:r w:rsidR="006E4E9D">
        <w:rPr>
          <w:rFonts w:hint="eastAsia"/>
          <w:sz w:val="24"/>
          <w:szCs w:val="24"/>
        </w:rPr>
        <w:t>8.59%</w:t>
      </w:r>
      <w:r w:rsidR="003A1AF8">
        <w:rPr>
          <w:rFonts w:hint="eastAsia"/>
          <w:sz w:val="24"/>
          <w:szCs w:val="24"/>
        </w:rPr>
        <w:t>，</w:t>
      </w:r>
      <w:r>
        <w:rPr>
          <w:rFonts w:hint="eastAsia"/>
          <w:sz w:val="24"/>
          <w:szCs w:val="24"/>
        </w:rPr>
        <w:t>导致收入减少</w:t>
      </w:r>
      <w:r>
        <w:rPr>
          <w:rFonts w:hint="eastAsia"/>
          <w:sz w:val="24"/>
          <w:szCs w:val="24"/>
        </w:rPr>
        <w:t>1367</w:t>
      </w:r>
      <w:r>
        <w:rPr>
          <w:rFonts w:hint="eastAsia"/>
          <w:sz w:val="24"/>
          <w:szCs w:val="24"/>
        </w:rPr>
        <w:t>万元；</w:t>
      </w:r>
      <w:r w:rsidR="006E4E9D">
        <w:rPr>
          <w:rFonts w:hint="eastAsia"/>
          <w:sz w:val="24"/>
          <w:szCs w:val="24"/>
        </w:rPr>
        <w:t>聚酯膜</w:t>
      </w:r>
      <w:r w:rsidR="006E4E9D">
        <w:rPr>
          <w:rFonts w:hint="eastAsia"/>
          <w:sz w:val="24"/>
          <w:szCs w:val="24"/>
        </w:rPr>
        <w:t>2016</w:t>
      </w:r>
      <w:r w:rsidR="006E4E9D">
        <w:rPr>
          <w:rFonts w:hint="eastAsia"/>
          <w:sz w:val="24"/>
          <w:szCs w:val="24"/>
        </w:rPr>
        <w:t>年平均售价较</w:t>
      </w:r>
      <w:r w:rsidR="006E4E9D">
        <w:rPr>
          <w:rFonts w:hint="eastAsia"/>
          <w:sz w:val="24"/>
          <w:szCs w:val="24"/>
        </w:rPr>
        <w:t>2015</w:t>
      </w:r>
      <w:r w:rsidR="006E4E9D">
        <w:rPr>
          <w:rFonts w:hint="eastAsia"/>
          <w:sz w:val="24"/>
          <w:szCs w:val="24"/>
        </w:rPr>
        <w:t>年下降</w:t>
      </w:r>
      <w:r w:rsidR="006E4E9D">
        <w:rPr>
          <w:rFonts w:hint="eastAsia"/>
          <w:sz w:val="24"/>
          <w:szCs w:val="24"/>
        </w:rPr>
        <w:t>8.57%</w:t>
      </w:r>
      <w:r w:rsidR="003A1AF8">
        <w:rPr>
          <w:rFonts w:hint="eastAsia"/>
          <w:sz w:val="24"/>
          <w:szCs w:val="24"/>
        </w:rPr>
        <w:t>，</w:t>
      </w:r>
      <w:r>
        <w:rPr>
          <w:rFonts w:hint="eastAsia"/>
          <w:sz w:val="24"/>
          <w:szCs w:val="24"/>
        </w:rPr>
        <w:t>导致收入减少</w:t>
      </w:r>
      <w:r>
        <w:rPr>
          <w:rFonts w:hint="eastAsia"/>
          <w:sz w:val="24"/>
          <w:szCs w:val="24"/>
        </w:rPr>
        <w:t>634</w:t>
      </w:r>
      <w:r>
        <w:rPr>
          <w:rFonts w:hint="eastAsia"/>
          <w:sz w:val="24"/>
          <w:szCs w:val="24"/>
        </w:rPr>
        <w:t>万元</w:t>
      </w:r>
      <w:r w:rsidR="006E4E9D">
        <w:rPr>
          <w:rFonts w:hint="eastAsia"/>
          <w:sz w:val="24"/>
          <w:szCs w:val="24"/>
        </w:rPr>
        <w:t>。</w:t>
      </w:r>
    </w:p>
    <w:p w:rsidR="00FF169F" w:rsidRPr="00943B6B" w:rsidRDefault="006E4E9D" w:rsidP="00376E7D">
      <w:pPr>
        <w:snapToGrid w:val="0"/>
        <w:spacing w:line="348" w:lineRule="auto"/>
        <w:ind w:firstLineChars="200" w:firstLine="480"/>
        <w:rPr>
          <w:rFonts w:asciiTheme="minorEastAsia" w:eastAsiaTheme="minorEastAsia" w:hAnsiTheme="minorEastAsia"/>
          <w:sz w:val="24"/>
          <w:szCs w:val="24"/>
        </w:rPr>
      </w:pPr>
      <w:r>
        <w:rPr>
          <w:rFonts w:hint="eastAsia"/>
          <w:sz w:val="24"/>
          <w:szCs w:val="24"/>
        </w:rPr>
        <w:t>（</w:t>
      </w:r>
      <w:r w:rsidR="00B90A0E">
        <w:rPr>
          <w:rFonts w:hint="eastAsia"/>
          <w:sz w:val="24"/>
          <w:szCs w:val="24"/>
        </w:rPr>
        <w:t>2</w:t>
      </w:r>
      <w:r>
        <w:rPr>
          <w:rFonts w:hint="eastAsia"/>
          <w:sz w:val="24"/>
          <w:szCs w:val="24"/>
        </w:rPr>
        <w:t>）</w:t>
      </w:r>
      <w:r w:rsidR="003B7009" w:rsidRPr="003B7009">
        <w:rPr>
          <w:rFonts w:hint="eastAsia"/>
          <w:sz w:val="24"/>
          <w:szCs w:val="24"/>
        </w:rPr>
        <w:t>根据铜陵市城市规划需要，公司位于</w:t>
      </w:r>
      <w:r w:rsidR="00FF169F">
        <w:rPr>
          <w:rFonts w:hint="eastAsia"/>
          <w:sz w:val="24"/>
          <w:szCs w:val="24"/>
        </w:rPr>
        <w:t>老</w:t>
      </w:r>
      <w:r w:rsidR="003B7009" w:rsidRPr="003B7009">
        <w:rPr>
          <w:rFonts w:hint="eastAsia"/>
          <w:sz w:val="24"/>
          <w:szCs w:val="24"/>
        </w:rPr>
        <w:t>厂区的四条电容薄膜生产线需要整体搬迁。由于搬迁预期，导致公司在</w:t>
      </w:r>
      <w:r w:rsidR="00FF169F">
        <w:rPr>
          <w:rFonts w:hint="eastAsia"/>
          <w:sz w:val="24"/>
          <w:szCs w:val="24"/>
        </w:rPr>
        <w:t>老厂区</w:t>
      </w:r>
      <w:r w:rsidR="003B7009" w:rsidRPr="003B7009">
        <w:rPr>
          <w:rFonts w:hint="eastAsia"/>
          <w:sz w:val="24"/>
          <w:szCs w:val="24"/>
        </w:rPr>
        <w:t>整体搬迁前难以投入较大资金对四条老线进行</w:t>
      </w:r>
      <w:r w:rsidR="00FF169F">
        <w:rPr>
          <w:rFonts w:hint="eastAsia"/>
          <w:sz w:val="24"/>
          <w:szCs w:val="24"/>
        </w:rPr>
        <w:t>改造升级。</w:t>
      </w:r>
      <w:r w:rsidR="003B7009" w:rsidRPr="003B7009">
        <w:rPr>
          <w:rFonts w:hint="eastAsia"/>
          <w:sz w:val="24"/>
          <w:szCs w:val="24"/>
        </w:rPr>
        <w:t>四条老线运行年限</w:t>
      </w:r>
      <w:r w:rsidR="00FF169F">
        <w:rPr>
          <w:rFonts w:hint="eastAsia"/>
          <w:sz w:val="24"/>
          <w:szCs w:val="24"/>
        </w:rPr>
        <w:t>较</w:t>
      </w:r>
      <w:r w:rsidR="003B7009" w:rsidRPr="003B7009">
        <w:rPr>
          <w:rFonts w:hint="eastAsia"/>
          <w:sz w:val="24"/>
          <w:szCs w:val="24"/>
        </w:rPr>
        <w:t>长，产品品质不稳定，市场竞争力</w:t>
      </w:r>
      <w:r w:rsidR="003B7009" w:rsidRPr="00943B6B">
        <w:rPr>
          <w:rFonts w:asciiTheme="minorEastAsia" w:eastAsiaTheme="minorEastAsia" w:hAnsiTheme="minorEastAsia" w:hint="eastAsia"/>
          <w:sz w:val="24"/>
          <w:szCs w:val="24"/>
        </w:rPr>
        <w:t>下滑，对公司电容薄膜产品市场竞争能力和盈利能力造成不利影响。</w:t>
      </w:r>
    </w:p>
    <w:p w:rsidR="00AE10CA" w:rsidRPr="00943B6B" w:rsidRDefault="003B7009" w:rsidP="00376E7D">
      <w:pPr>
        <w:snapToGrid w:val="0"/>
        <w:spacing w:line="348" w:lineRule="auto"/>
        <w:ind w:firstLineChars="200" w:firstLine="480"/>
        <w:rPr>
          <w:rFonts w:asciiTheme="minorEastAsia" w:eastAsiaTheme="minorEastAsia" w:hAnsiTheme="minorEastAsia"/>
          <w:sz w:val="24"/>
          <w:szCs w:val="24"/>
        </w:rPr>
      </w:pPr>
      <w:r w:rsidRPr="00943B6B">
        <w:rPr>
          <w:rFonts w:asciiTheme="minorEastAsia" w:eastAsiaTheme="minorEastAsia" w:hAnsiTheme="minorEastAsia" w:hint="eastAsia"/>
          <w:sz w:val="24"/>
          <w:szCs w:val="24"/>
        </w:rPr>
        <w:t>2014年公司</w:t>
      </w:r>
      <w:r w:rsidR="00FF169F" w:rsidRPr="00943B6B">
        <w:rPr>
          <w:rFonts w:asciiTheme="minorEastAsia" w:eastAsiaTheme="minorEastAsia" w:hAnsiTheme="minorEastAsia" w:hint="eastAsia"/>
          <w:sz w:val="24"/>
          <w:szCs w:val="24"/>
        </w:rPr>
        <w:t>老厂</w:t>
      </w:r>
      <w:r w:rsidRPr="00943B6B">
        <w:rPr>
          <w:rFonts w:asciiTheme="minorEastAsia" w:eastAsiaTheme="minorEastAsia" w:hAnsiTheme="minorEastAsia" w:hint="eastAsia"/>
          <w:sz w:val="24"/>
          <w:szCs w:val="24"/>
        </w:rPr>
        <w:t>区四条电容薄膜老线整体搬迁工作开始启动，以每次搬迁两条线的进度分批搬迁至铜陵经济技术开发区铜峰工业园，直至2016年10月份才全部完成生产线搬迁改造。每条生产线搬迁改造后，约需8个月时间完成</w:t>
      </w:r>
      <w:r w:rsidR="00A54BCB" w:rsidRPr="00943B6B">
        <w:rPr>
          <w:rFonts w:asciiTheme="minorEastAsia" w:eastAsiaTheme="minorEastAsia" w:hAnsiTheme="minorEastAsia" w:hint="eastAsia"/>
          <w:sz w:val="24"/>
          <w:szCs w:val="24"/>
        </w:rPr>
        <w:t>安装</w:t>
      </w:r>
      <w:r w:rsidRPr="00943B6B">
        <w:rPr>
          <w:rFonts w:asciiTheme="minorEastAsia" w:eastAsiaTheme="minorEastAsia" w:hAnsiTheme="minorEastAsia" w:hint="eastAsia"/>
          <w:sz w:val="24"/>
          <w:szCs w:val="24"/>
        </w:rPr>
        <w:lastRenderedPageBreak/>
        <w:t>调试进入正常生产，而且市场客户还需对生产线搬迁改造后的产品进行重新认定。以上生产线搬迁改造、调试、产品重新认定周期，影响了公司2014-2016年度的电容薄膜的产量、质量和市场，</w:t>
      </w:r>
      <w:r w:rsidR="00AE10CA" w:rsidRPr="00943B6B">
        <w:rPr>
          <w:rFonts w:asciiTheme="minorEastAsia" w:eastAsiaTheme="minorEastAsia" w:hAnsiTheme="minorEastAsia" w:hint="eastAsia"/>
          <w:sz w:val="24"/>
          <w:szCs w:val="24"/>
        </w:rPr>
        <w:t>产品成本也相应增加，公司主要产品聚丙膜2016年单位销售成本较2015年上涨2.36%</w:t>
      </w:r>
      <w:r w:rsidR="0064769C">
        <w:rPr>
          <w:rFonts w:asciiTheme="minorEastAsia" w:eastAsiaTheme="minorEastAsia" w:hAnsiTheme="minorEastAsia" w:hint="eastAsia"/>
          <w:sz w:val="24"/>
          <w:szCs w:val="24"/>
        </w:rPr>
        <w:t>，</w:t>
      </w:r>
      <w:r w:rsidR="00AE10CA" w:rsidRPr="00943B6B">
        <w:rPr>
          <w:rFonts w:asciiTheme="minorEastAsia" w:eastAsiaTheme="minorEastAsia" w:hAnsiTheme="minorEastAsia" w:hint="eastAsia"/>
          <w:sz w:val="24"/>
          <w:szCs w:val="24"/>
        </w:rPr>
        <w:t>导致成本增加369万元；聚酯膜</w:t>
      </w:r>
      <w:r w:rsidR="006272D5">
        <w:rPr>
          <w:rFonts w:asciiTheme="minorEastAsia" w:eastAsiaTheme="minorEastAsia" w:hAnsiTheme="minorEastAsia" w:hint="eastAsia"/>
          <w:sz w:val="24"/>
          <w:szCs w:val="24"/>
        </w:rPr>
        <w:t>由于市场萎缩，</w:t>
      </w:r>
      <w:r w:rsidR="00E17D64" w:rsidRPr="00E17D64">
        <w:rPr>
          <w:rFonts w:asciiTheme="minorEastAsia" w:eastAsiaTheme="minorEastAsia" w:hAnsiTheme="minorEastAsia" w:hint="eastAsia"/>
          <w:sz w:val="24"/>
          <w:szCs w:val="24"/>
        </w:rPr>
        <w:t>单位</w:t>
      </w:r>
      <w:r w:rsidR="006272D5">
        <w:rPr>
          <w:rFonts w:asciiTheme="minorEastAsia" w:eastAsiaTheme="minorEastAsia" w:hAnsiTheme="minorEastAsia" w:hint="eastAsia"/>
          <w:sz w:val="24"/>
          <w:szCs w:val="24"/>
        </w:rPr>
        <w:t>固定成本上升，</w:t>
      </w:r>
      <w:r w:rsidR="00AE10CA" w:rsidRPr="00943B6B">
        <w:rPr>
          <w:rFonts w:asciiTheme="minorEastAsia" w:eastAsiaTheme="minorEastAsia" w:hAnsiTheme="minorEastAsia" w:hint="eastAsia"/>
          <w:sz w:val="24"/>
          <w:szCs w:val="24"/>
        </w:rPr>
        <w:t>2016年单位销售成本较2015年</w:t>
      </w:r>
      <w:r w:rsidR="0064769C">
        <w:rPr>
          <w:rFonts w:asciiTheme="minorEastAsia" w:eastAsiaTheme="minorEastAsia" w:hAnsiTheme="minorEastAsia" w:hint="eastAsia"/>
          <w:sz w:val="24"/>
          <w:szCs w:val="24"/>
        </w:rPr>
        <w:t>也</w:t>
      </w:r>
      <w:r w:rsidR="00AE10CA" w:rsidRPr="00943B6B">
        <w:rPr>
          <w:rFonts w:asciiTheme="minorEastAsia" w:eastAsiaTheme="minorEastAsia" w:hAnsiTheme="minorEastAsia" w:hint="eastAsia"/>
          <w:sz w:val="24"/>
          <w:szCs w:val="24"/>
        </w:rPr>
        <w:t>上涨19.09%</w:t>
      </w:r>
      <w:r w:rsidR="0064769C">
        <w:rPr>
          <w:rFonts w:asciiTheme="minorEastAsia" w:eastAsiaTheme="minorEastAsia" w:hAnsiTheme="minorEastAsia" w:hint="eastAsia"/>
          <w:sz w:val="24"/>
          <w:szCs w:val="24"/>
        </w:rPr>
        <w:t>，</w:t>
      </w:r>
      <w:r w:rsidR="00AE10CA" w:rsidRPr="00943B6B">
        <w:rPr>
          <w:rFonts w:asciiTheme="minorEastAsia" w:eastAsiaTheme="minorEastAsia" w:hAnsiTheme="minorEastAsia" w:hint="eastAsia"/>
          <w:sz w:val="24"/>
          <w:szCs w:val="24"/>
        </w:rPr>
        <w:t>导致成本增加1</w:t>
      </w:r>
      <w:r w:rsidR="00943B6B" w:rsidRPr="00943B6B">
        <w:rPr>
          <w:rFonts w:asciiTheme="minorEastAsia" w:eastAsiaTheme="minorEastAsia" w:hAnsiTheme="minorEastAsia" w:hint="eastAsia"/>
          <w:sz w:val="24"/>
          <w:szCs w:val="24"/>
        </w:rPr>
        <w:t>,</w:t>
      </w:r>
      <w:r w:rsidR="00AE10CA" w:rsidRPr="00943B6B">
        <w:rPr>
          <w:rFonts w:asciiTheme="minorEastAsia" w:eastAsiaTheme="minorEastAsia" w:hAnsiTheme="minorEastAsia" w:hint="eastAsia"/>
          <w:sz w:val="24"/>
          <w:szCs w:val="24"/>
        </w:rPr>
        <w:t>319万元。</w:t>
      </w:r>
    </w:p>
    <w:p w:rsidR="00431DE2" w:rsidRPr="00943B6B" w:rsidRDefault="006E4E9D" w:rsidP="00376E7D">
      <w:pPr>
        <w:snapToGrid w:val="0"/>
        <w:spacing w:line="348" w:lineRule="auto"/>
        <w:ind w:firstLineChars="200" w:firstLine="480"/>
        <w:rPr>
          <w:rFonts w:asciiTheme="minorEastAsia" w:eastAsiaTheme="minorEastAsia" w:hAnsiTheme="minorEastAsia"/>
          <w:sz w:val="24"/>
          <w:szCs w:val="24"/>
        </w:rPr>
      </w:pPr>
      <w:r w:rsidRPr="00943B6B">
        <w:rPr>
          <w:rFonts w:asciiTheme="minorEastAsia" w:eastAsiaTheme="minorEastAsia" w:hAnsiTheme="minorEastAsia" w:hint="eastAsia"/>
          <w:sz w:val="24"/>
          <w:szCs w:val="24"/>
        </w:rPr>
        <w:t>（</w:t>
      </w:r>
      <w:r w:rsidR="00B90A0E" w:rsidRPr="00943B6B">
        <w:rPr>
          <w:rFonts w:asciiTheme="minorEastAsia" w:eastAsiaTheme="minorEastAsia" w:hAnsiTheme="minorEastAsia" w:hint="eastAsia"/>
          <w:sz w:val="24"/>
          <w:szCs w:val="24"/>
        </w:rPr>
        <w:t>3</w:t>
      </w:r>
      <w:r w:rsidRPr="00943B6B">
        <w:rPr>
          <w:rFonts w:asciiTheme="minorEastAsia" w:eastAsiaTheme="minorEastAsia" w:hAnsiTheme="minorEastAsia" w:hint="eastAsia"/>
          <w:sz w:val="24"/>
          <w:szCs w:val="24"/>
        </w:rPr>
        <w:t>）国内LED行业产能扩张较快，市场竞争激烈，产品更新频繁，子公司</w:t>
      </w:r>
      <w:r w:rsidR="00A27021" w:rsidRPr="00943B6B">
        <w:rPr>
          <w:rFonts w:asciiTheme="minorEastAsia" w:eastAsiaTheme="minorEastAsia" w:hAnsiTheme="minorEastAsia" w:hint="eastAsia"/>
          <w:sz w:val="24"/>
          <w:szCs w:val="24"/>
        </w:rPr>
        <w:t>铜陵市</w:t>
      </w:r>
      <w:r w:rsidRPr="00943B6B">
        <w:rPr>
          <w:rFonts w:asciiTheme="minorEastAsia" w:eastAsiaTheme="minorEastAsia" w:hAnsiTheme="minorEastAsia" w:hint="eastAsia"/>
          <w:sz w:val="24"/>
          <w:szCs w:val="24"/>
        </w:rPr>
        <w:t>铜峰光电</w:t>
      </w:r>
      <w:r w:rsidR="00A27021" w:rsidRPr="00943B6B">
        <w:rPr>
          <w:rFonts w:asciiTheme="minorEastAsia" w:eastAsiaTheme="minorEastAsia" w:hAnsiTheme="minorEastAsia" w:hint="eastAsia"/>
          <w:sz w:val="24"/>
          <w:szCs w:val="24"/>
        </w:rPr>
        <w:t>科技有限公司</w:t>
      </w:r>
      <w:r w:rsidRPr="00943B6B">
        <w:rPr>
          <w:rFonts w:asciiTheme="minorEastAsia" w:eastAsiaTheme="minorEastAsia" w:hAnsiTheme="minorEastAsia" w:hint="eastAsia"/>
          <w:sz w:val="24"/>
          <w:szCs w:val="24"/>
        </w:rPr>
        <w:t>产品LED支架</w:t>
      </w:r>
      <w:r w:rsidR="00BD7002" w:rsidRPr="00943B6B">
        <w:rPr>
          <w:rFonts w:asciiTheme="minorEastAsia" w:eastAsiaTheme="minorEastAsia" w:hAnsiTheme="minorEastAsia" w:hint="eastAsia"/>
          <w:sz w:val="24"/>
          <w:szCs w:val="24"/>
        </w:rPr>
        <w:t>由于编排方式发生变化，无法适应市场需求</w:t>
      </w:r>
      <w:r w:rsidRPr="00943B6B">
        <w:rPr>
          <w:rFonts w:asciiTheme="minorEastAsia" w:eastAsiaTheme="minorEastAsia" w:hAnsiTheme="minorEastAsia" w:hint="eastAsia"/>
          <w:sz w:val="24"/>
          <w:szCs w:val="24"/>
        </w:rPr>
        <w:t>。2016</w:t>
      </w:r>
      <w:r w:rsidR="00A27021" w:rsidRPr="00943B6B">
        <w:rPr>
          <w:rFonts w:asciiTheme="minorEastAsia" w:eastAsiaTheme="minorEastAsia" w:hAnsiTheme="minorEastAsia" w:hint="eastAsia"/>
          <w:sz w:val="24"/>
          <w:szCs w:val="24"/>
        </w:rPr>
        <w:t>年又受搬迁、重整</w:t>
      </w:r>
      <w:r w:rsidRPr="00943B6B">
        <w:rPr>
          <w:rFonts w:asciiTheme="minorEastAsia" w:eastAsiaTheme="minorEastAsia" w:hAnsiTheme="minorEastAsia" w:hint="eastAsia"/>
          <w:sz w:val="24"/>
          <w:szCs w:val="24"/>
        </w:rPr>
        <w:t>等因素影响，造成客户流失。</w:t>
      </w:r>
      <w:r w:rsidR="003D3058" w:rsidRPr="00943B6B">
        <w:rPr>
          <w:rFonts w:asciiTheme="minorEastAsia" w:eastAsiaTheme="minorEastAsia" w:hAnsiTheme="minorEastAsia" w:hint="eastAsia"/>
          <w:sz w:val="24"/>
          <w:szCs w:val="24"/>
        </w:rPr>
        <w:t>2016年LED支架</w:t>
      </w:r>
      <w:r w:rsidR="00D72E9B">
        <w:rPr>
          <w:rFonts w:asciiTheme="minorEastAsia" w:eastAsiaTheme="minorEastAsia" w:hAnsiTheme="minorEastAsia" w:hint="eastAsia"/>
          <w:sz w:val="24"/>
          <w:szCs w:val="24"/>
        </w:rPr>
        <w:t>收入大幅减少。</w:t>
      </w:r>
    </w:p>
    <w:p w:rsidR="006E4E9D" w:rsidRDefault="005D0EFD" w:rsidP="005D0EFD">
      <w:pPr>
        <w:pStyle w:val="Default"/>
        <w:snapToGrid w:val="0"/>
        <w:spacing w:line="348" w:lineRule="auto"/>
        <w:rPr>
          <w:rFonts w:asciiTheme="minorEastAsia" w:eastAsiaTheme="minorEastAsia" w:hAnsiTheme="minorEastAsia" w:cs="宋体"/>
          <w:b/>
        </w:rPr>
      </w:pPr>
      <w:r>
        <w:rPr>
          <w:rFonts w:asciiTheme="minorEastAsia" w:eastAsiaTheme="minorEastAsia" w:hAnsiTheme="minorEastAsia" w:cs="宋体" w:hint="eastAsia"/>
          <w:b/>
        </w:rPr>
        <w:t xml:space="preserve">    </w:t>
      </w:r>
      <w:r w:rsidR="003643E5" w:rsidRPr="005D0EFD">
        <w:rPr>
          <w:rFonts w:asciiTheme="minorEastAsia" w:eastAsiaTheme="minorEastAsia" w:hAnsiTheme="minorEastAsia" w:cs="宋体" w:hint="eastAsia"/>
          <w:b/>
        </w:rPr>
        <w:t>2、</w:t>
      </w:r>
      <w:r w:rsidR="00D72E9B" w:rsidRPr="005D0EFD">
        <w:rPr>
          <w:rFonts w:asciiTheme="minorEastAsia" w:eastAsiaTheme="minorEastAsia" w:hAnsiTheme="minorEastAsia" w:cs="宋体" w:hint="eastAsia"/>
          <w:b/>
        </w:rPr>
        <w:t>2016</w:t>
      </w:r>
      <w:r w:rsidR="006E4E9D" w:rsidRPr="005D0EFD">
        <w:rPr>
          <w:rFonts w:asciiTheme="minorEastAsia" w:eastAsiaTheme="minorEastAsia" w:hAnsiTheme="minorEastAsia" w:cs="宋体" w:hint="eastAsia"/>
          <w:b/>
        </w:rPr>
        <w:t>年共计提资产减值损失1.019</w:t>
      </w:r>
      <w:r w:rsidR="00D72E9B" w:rsidRPr="005D0EFD">
        <w:rPr>
          <w:rFonts w:asciiTheme="minorEastAsia" w:eastAsiaTheme="minorEastAsia" w:hAnsiTheme="minorEastAsia" w:cs="宋体" w:hint="eastAsia"/>
          <w:b/>
        </w:rPr>
        <w:t>亿元，相比2015</w:t>
      </w:r>
      <w:r w:rsidR="006E4E9D" w:rsidRPr="005D0EFD">
        <w:rPr>
          <w:rFonts w:asciiTheme="minorEastAsia" w:eastAsiaTheme="minorEastAsia" w:hAnsiTheme="minorEastAsia" w:cs="宋体" w:hint="eastAsia"/>
          <w:b/>
        </w:rPr>
        <w:t>年增长6</w:t>
      </w:r>
      <w:r w:rsidR="00263F2F" w:rsidRPr="005D0EFD">
        <w:rPr>
          <w:rFonts w:asciiTheme="minorEastAsia" w:eastAsiaTheme="minorEastAsia" w:hAnsiTheme="minorEastAsia" w:cs="宋体" w:hint="eastAsia"/>
          <w:b/>
        </w:rPr>
        <w:t>,</w:t>
      </w:r>
      <w:r w:rsidR="006E4E9D" w:rsidRPr="005D0EFD">
        <w:rPr>
          <w:rFonts w:asciiTheme="minorEastAsia" w:eastAsiaTheme="minorEastAsia" w:hAnsiTheme="minorEastAsia" w:cs="宋体" w:hint="eastAsia"/>
          <w:b/>
        </w:rPr>
        <w:t>394.40万</w:t>
      </w:r>
      <w:r w:rsidR="00B5565D">
        <w:rPr>
          <w:rFonts w:asciiTheme="minorEastAsia" w:eastAsiaTheme="minorEastAsia" w:hAnsiTheme="minorEastAsia" w:cs="宋体" w:hint="eastAsia"/>
          <w:b/>
        </w:rPr>
        <w:t>元</w:t>
      </w:r>
      <w:r w:rsidR="006E4E9D" w:rsidRPr="005D0EFD">
        <w:rPr>
          <w:rFonts w:asciiTheme="minorEastAsia" w:eastAsiaTheme="minorEastAsia" w:hAnsiTheme="minorEastAsia" w:cs="宋体" w:hint="eastAsia"/>
          <w:b/>
        </w:rPr>
        <w:t>，</w:t>
      </w:r>
      <w:r>
        <w:rPr>
          <w:rFonts w:asciiTheme="minorEastAsia" w:eastAsiaTheme="minorEastAsia" w:hAnsiTheme="minorEastAsia" w:cs="宋体" w:hint="eastAsia"/>
          <w:b/>
        </w:rPr>
        <w:t>2016年及2015</w:t>
      </w:r>
      <w:r w:rsidR="006E4E9D" w:rsidRPr="005D0EFD">
        <w:rPr>
          <w:rFonts w:asciiTheme="minorEastAsia" w:eastAsiaTheme="minorEastAsia" w:hAnsiTheme="minorEastAsia" w:cs="宋体" w:hint="eastAsia"/>
          <w:b/>
        </w:rPr>
        <w:t>年资产减值损失结构情况如下：</w:t>
      </w:r>
    </w:p>
    <w:p w:rsidR="00B5565D" w:rsidRPr="00B5565D" w:rsidRDefault="00B5565D" w:rsidP="005D0EFD">
      <w:pPr>
        <w:pStyle w:val="Default"/>
        <w:snapToGrid w:val="0"/>
        <w:spacing w:line="348" w:lineRule="auto"/>
        <w:rPr>
          <w:rFonts w:asciiTheme="minorEastAsia" w:eastAsiaTheme="minorEastAsia" w:hAnsiTheme="minorEastAsia" w:cs="宋体"/>
        </w:rPr>
      </w:pPr>
      <w:r>
        <w:rPr>
          <w:rFonts w:asciiTheme="minorEastAsia" w:eastAsiaTheme="minorEastAsia" w:hAnsiTheme="minorEastAsia" w:cs="宋体" w:hint="eastAsia"/>
          <w:b/>
        </w:rPr>
        <w:t xml:space="preserve">                                                       </w:t>
      </w:r>
      <w:r w:rsidRPr="00B5565D">
        <w:rPr>
          <w:rFonts w:asciiTheme="minorEastAsia" w:eastAsiaTheme="minorEastAsia" w:hAnsiTheme="minorEastAsia" w:cs="宋体" w:hint="eastAsia"/>
        </w:rPr>
        <w:t xml:space="preserve">  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2408"/>
        <w:gridCol w:w="1844"/>
        <w:gridCol w:w="1892"/>
      </w:tblGrid>
      <w:tr w:rsidR="006E4E9D" w:rsidRPr="007B4916" w:rsidTr="008545A7">
        <w:trPr>
          <w:trHeight w:val="397"/>
        </w:trPr>
        <w:tc>
          <w:tcPr>
            <w:tcW w:w="1395" w:type="pct"/>
            <w:shd w:val="clear" w:color="auto" w:fill="auto"/>
            <w:vAlign w:val="center"/>
            <w:hideMark/>
          </w:tcPr>
          <w:p w:rsidR="006E4E9D" w:rsidRPr="007B4916" w:rsidRDefault="006E4E9D" w:rsidP="00376E7D">
            <w:pPr>
              <w:widowControl/>
              <w:snapToGrid w:val="0"/>
              <w:spacing w:line="348" w:lineRule="auto"/>
              <w:jc w:val="center"/>
              <w:rPr>
                <w:rFonts w:asciiTheme="minorEastAsia" w:eastAsiaTheme="minorEastAsia" w:hAnsiTheme="minorEastAsia"/>
                <w:kern w:val="0"/>
                <w:sz w:val="18"/>
                <w:szCs w:val="18"/>
              </w:rPr>
            </w:pPr>
            <w:r w:rsidRPr="007B4916">
              <w:rPr>
                <w:rFonts w:asciiTheme="minorEastAsia" w:eastAsiaTheme="minorEastAsia" w:hAnsiTheme="minorEastAsia"/>
                <w:kern w:val="0"/>
                <w:sz w:val="18"/>
                <w:szCs w:val="18"/>
              </w:rPr>
              <w:t>项目</w:t>
            </w:r>
          </w:p>
        </w:tc>
        <w:tc>
          <w:tcPr>
            <w:tcW w:w="1413" w:type="pct"/>
            <w:shd w:val="clear" w:color="auto" w:fill="auto"/>
            <w:vAlign w:val="center"/>
            <w:hideMark/>
          </w:tcPr>
          <w:p w:rsidR="006E4E9D" w:rsidRPr="007B4916" w:rsidRDefault="00D72E9B" w:rsidP="00376E7D">
            <w:pPr>
              <w:widowControl/>
              <w:snapToGrid w:val="0"/>
              <w:spacing w:line="348" w:lineRule="auto"/>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2016年</w:t>
            </w:r>
            <w:r w:rsidR="006E4E9D" w:rsidRPr="007B4916">
              <w:rPr>
                <w:rFonts w:asciiTheme="minorEastAsia" w:eastAsiaTheme="minorEastAsia" w:hAnsiTheme="minorEastAsia"/>
                <w:kern w:val="0"/>
                <w:sz w:val="18"/>
                <w:szCs w:val="18"/>
              </w:rPr>
              <w:t>发生额</w:t>
            </w:r>
          </w:p>
        </w:tc>
        <w:tc>
          <w:tcPr>
            <w:tcW w:w="1082" w:type="pct"/>
            <w:shd w:val="clear" w:color="auto" w:fill="auto"/>
            <w:vAlign w:val="center"/>
            <w:hideMark/>
          </w:tcPr>
          <w:p w:rsidR="006E4E9D" w:rsidRPr="007B4916" w:rsidRDefault="00D72E9B" w:rsidP="00376E7D">
            <w:pPr>
              <w:widowControl/>
              <w:snapToGrid w:val="0"/>
              <w:spacing w:line="348" w:lineRule="auto"/>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2015年</w:t>
            </w:r>
            <w:r w:rsidR="006E4E9D" w:rsidRPr="007B4916">
              <w:rPr>
                <w:rFonts w:asciiTheme="minorEastAsia" w:eastAsiaTheme="minorEastAsia" w:hAnsiTheme="minorEastAsia"/>
                <w:kern w:val="0"/>
                <w:sz w:val="18"/>
                <w:szCs w:val="18"/>
              </w:rPr>
              <w:t>发生额</w:t>
            </w:r>
          </w:p>
        </w:tc>
        <w:tc>
          <w:tcPr>
            <w:tcW w:w="1111" w:type="pct"/>
          </w:tcPr>
          <w:p w:rsidR="006E4E9D" w:rsidRPr="007B4916" w:rsidRDefault="006E4E9D" w:rsidP="00376E7D">
            <w:pPr>
              <w:widowControl/>
              <w:snapToGrid w:val="0"/>
              <w:spacing w:line="348" w:lineRule="auto"/>
              <w:jc w:val="center"/>
              <w:rPr>
                <w:rFonts w:asciiTheme="minorEastAsia" w:eastAsiaTheme="minorEastAsia" w:hAnsiTheme="minorEastAsia"/>
                <w:kern w:val="0"/>
                <w:sz w:val="18"/>
                <w:szCs w:val="18"/>
              </w:rPr>
            </w:pPr>
            <w:r w:rsidRPr="007B4916">
              <w:rPr>
                <w:rFonts w:asciiTheme="minorEastAsia" w:eastAsiaTheme="minorEastAsia" w:hAnsiTheme="minorEastAsia" w:hint="eastAsia"/>
                <w:kern w:val="0"/>
                <w:sz w:val="18"/>
                <w:szCs w:val="18"/>
              </w:rPr>
              <w:t>增减变动</w:t>
            </w:r>
          </w:p>
        </w:tc>
      </w:tr>
      <w:tr w:rsidR="006E4E9D" w:rsidRPr="007B4916" w:rsidTr="008545A7">
        <w:trPr>
          <w:trHeight w:val="397"/>
        </w:trPr>
        <w:tc>
          <w:tcPr>
            <w:tcW w:w="1395" w:type="pct"/>
            <w:shd w:val="clear" w:color="auto" w:fill="auto"/>
            <w:vAlign w:val="center"/>
            <w:hideMark/>
          </w:tcPr>
          <w:p w:rsidR="006E4E9D" w:rsidRPr="007B4916" w:rsidRDefault="006E4E9D" w:rsidP="00376E7D">
            <w:pPr>
              <w:widowControl/>
              <w:snapToGrid w:val="0"/>
              <w:spacing w:line="348" w:lineRule="auto"/>
              <w:rPr>
                <w:rFonts w:asciiTheme="minorEastAsia" w:eastAsiaTheme="minorEastAsia" w:hAnsiTheme="minorEastAsia"/>
                <w:kern w:val="0"/>
                <w:sz w:val="18"/>
                <w:szCs w:val="18"/>
              </w:rPr>
            </w:pPr>
            <w:r w:rsidRPr="007B4916">
              <w:rPr>
                <w:rFonts w:asciiTheme="minorEastAsia" w:eastAsiaTheme="minorEastAsia" w:hAnsiTheme="minorEastAsia"/>
                <w:kern w:val="0"/>
                <w:sz w:val="18"/>
                <w:szCs w:val="18"/>
              </w:rPr>
              <w:t>一、坏账损失</w:t>
            </w:r>
          </w:p>
        </w:tc>
        <w:tc>
          <w:tcPr>
            <w:tcW w:w="1413"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 xml:space="preserve">    23,974,200.37 </w:t>
            </w:r>
          </w:p>
        </w:tc>
        <w:tc>
          <w:tcPr>
            <w:tcW w:w="1082" w:type="pct"/>
            <w:shd w:val="clear" w:color="auto" w:fill="auto"/>
            <w:vAlign w:val="center"/>
            <w:hideMark/>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11,977,749.85</w:t>
            </w:r>
          </w:p>
        </w:tc>
        <w:tc>
          <w:tcPr>
            <w:tcW w:w="1111" w:type="pct"/>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11,996,450.52</w:t>
            </w:r>
          </w:p>
        </w:tc>
      </w:tr>
      <w:tr w:rsidR="006E4E9D" w:rsidRPr="007B4916" w:rsidTr="008545A7">
        <w:trPr>
          <w:trHeight w:val="397"/>
        </w:trPr>
        <w:tc>
          <w:tcPr>
            <w:tcW w:w="1395" w:type="pct"/>
            <w:shd w:val="clear" w:color="auto" w:fill="auto"/>
            <w:vAlign w:val="center"/>
            <w:hideMark/>
          </w:tcPr>
          <w:p w:rsidR="006E4E9D" w:rsidRPr="007B4916" w:rsidRDefault="006E4E9D" w:rsidP="00376E7D">
            <w:pPr>
              <w:widowControl/>
              <w:snapToGrid w:val="0"/>
              <w:spacing w:line="348" w:lineRule="auto"/>
              <w:rPr>
                <w:rFonts w:asciiTheme="minorEastAsia" w:eastAsiaTheme="minorEastAsia" w:hAnsiTheme="minorEastAsia"/>
                <w:kern w:val="0"/>
                <w:sz w:val="18"/>
                <w:szCs w:val="18"/>
              </w:rPr>
            </w:pPr>
            <w:r w:rsidRPr="007B4916">
              <w:rPr>
                <w:rFonts w:asciiTheme="minorEastAsia" w:eastAsiaTheme="minorEastAsia" w:hAnsiTheme="minorEastAsia"/>
                <w:kern w:val="0"/>
                <w:sz w:val="18"/>
                <w:szCs w:val="18"/>
              </w:rPr>
              <w:t>二、存货跌价损失</w:t>
            </w:r>
          </w:p>
        </w:tc>
        <w:tc>
          <w:tcPr>
            <w:tcW w:w="1413"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 xml:space="preserve">    28,452,147.78 </w:t>
            </w:r>
          </w:p>
        </w:tc>
        <w:tc>
          <w:tcPr>
            <w:tcW w:w="1082" w:type="pct"/>
            <w:shd w:val="clear" w:color="auto" w:fill="auto"/>
            <w:vAlign w:val="center"/>
            <w:hideMark/>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24,790,829.00</w:t>
            </w:r>
          </w:p>
        </w:tc>
        <w:tc>
          <w:tcPr>
            <w:tcW w:w="1111" w:type="pct"/>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3,661,318.78</w:t>
            </w:r>
          </w:p>
        </w:tc>
      </w:tr>
      <w:tr w:rsidR="006E4E9D" w:rsidRPr="007B4916" w:rsidTr="008545A7">
        <w:trPr>
          <w:trHeight w:val="397"/>
        </w:trPr>
        <w:tc>
          <w:tcPr>
            <w:tcW w:w="1395" w:type="pct"/>
            <w:shd w:val="clear" w:color="auto" w:fill="auto"/>
            <w:vAlign w:val="center"/>
          </w:tcPr>
          <w:p w:rsidR="006E4E9D" w:rsidRPr="007B4916" w:rsidRDefault="006E4E9D" w:rsidP="00376E7D">
            <w:pPr>
              <w:widowControl/>
              <w:snapToGrid w:val="0"/>
              <w:spacing w:line="348" w:lineRule="auto"/>
              <w:rPr>
                <w:rFonts w:asciiTheme="minorEastAsia" w:eastAsiaTheme="minorEastAsia" w:hAnsiTheme="minorEastAsia"/>
                <w:kern w:val="0"/>
                <w:sz w:val="18"/>
                <w:szCs w:val="18"/>
              </w:rPr>
            </w:pPr>
            <w:r w:rsidRPr="007B4916">
              <w:rPr>
                <w:rFonts w:asciiTheme="minorEastAsia" w:eastAsiaTheme="minorEastAsia" w:hAnsiTheme="minorEastAsia" w:hint="eastAsia"/>
                <w:kern w:val="0"/>
                <w:sz w:val="18"/>
                <w:szCs w:val="18"/>
              </w:rPr>
              <w:t>三、固定资产减值损失</w:t>
            </w:r>
          </w:p>
        </w:tc>
        <w:tc>
          <w:tcPr>
            <w:tcW w:w="1413"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 xml:space="preserve">    40,602,186.04 </w:t>
            </w:r>
          </w:p>
        </w:tc>
        <w:tc>
          <w:tcPr>
            <w:tcW w:w="1082"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1,149,329.77</w:t>
            </w:r>
          </w:p>
        </w:tc>
        <w:tc>
          <w:tcPr>
            <w:tcW w:w="1111" w:type="pct"/>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39,452,856.27</w:t>
            </w:r>
          </w:p>
        </w:tc>
      </w:tr>
      <w:tr w:rsidR="006E4E9D" w:rsidRPr="007B4916" w:rsidTr="008545A7">
        <w:trPr>
          <w:trHeight w:val="397"/>
        </w:trPr>
        <w:tc>
          <w:tcPr>
            <w:tcW w:w="1395" w:type="pct"/>
            <w:shd w:val="clear" w:color="auto" w:fill="auto"/>
            <w:vAlign w:val="center"/>
          </w:tcPr>
          <w:p w:rsidR="006E4E9D" w:rsidRPr="007B4916" w:rsidRDefault="006E4E9D" w:rsidP="00376E7D">
            <w:pPr>
              <w:widowControl/>
              <w:snapToGrid w:val="0"/>
              <w:spacing w:line="348" w:lineRule="auto"/>
              <w:rPr>
                <w:rFonts w:asciiTheme="minorEastAsia" w:eastAsiaTheme="minorEastAsia" w:hAnsiTheme="minorEastAsia"/>
                <w:kern w:val="0"/>
                <w:sz w:val="18"/>
                <w:szCs w:val="18"/>
              </w:rPr>
            </w:pPr>
            <w:r w:rsidRPr="007B4916">
              <w:rPr>
                <w:rFonts w:asciiTheme="minorEastAsia" w:eastAsiaTheme="minorEastAsia" w:hAnsiTheme="minorEastAsia" w:hint="eastAsia"/>
                <w:kern w:val="0"/>
                <w:sz w:val="18"/>
                <w:szCs w:val="18"/>
              </w:rPr>
              <w:t>四、无形资产减值损失</w:t>
            </w:r>
          </w:p>
        </w:tc>
        <w:tc>
          <w:tcPr>
            <w:tcW w:w="1413"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 xml:space="preserve">      8,833,333.36 </w:t>
            </w:r>
          </w:p>
        </w:tc>
        <w:tc>
          <w:tcPr>
            <w:tcW w:w="1082"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w:t>
            </w:r>
          </w:p>
        </w:tc>
        <w:tc>
          <w:tcPr>
            <w:tcW w:w="1111" w:type="pct"/>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8,833,333.36</w:t>
            </w:r>
          </w:p>
        </w:tc>
      </w:tr>
      <w:tr w:rsidR="006E4E9D" w:rsidRPr="007B4916" w:rsidTr="008545A7">
        <w:trPr>
          <w:trHeight w:val="397"/>
        </w:trPr>
        <w:tc>
          <w:tcPr>
            <w:tcW w:w="1395" w:type="pct"/>
            <w:shd w:val="clear" w:color="auto" w:fill="auto"/>
            <w:vAlign w:val="center"/>
            <w:hideMark/>
          </w:tcPr>
          <w:p w:rsidR="006E4E9D" w:rsidRPr="007B4916" w:rsidRDefault="006E4E9D" w:rsidP="00376E7D">
            <w:pPr>
              <w:widowControl/>
              <w:snapToGrid w:val="0"/>
              <w:spacing w:line="348" w:lineRule="auto"/>
              <w:jc w:val="center"/>
              <w:rPr>
                <w:rFonts w:asciiTheme="minorEastAsia" w:eastAsiaTheme="minorEastAsia" w:hAnsiTheme="minorEastAsia"/>
                <w:kern w:val="0"/>
                <w:sz w:val="18"/>
                <w:szCs w:val="18"/>
              </w:rPr>
            </w:pPr>
            <w:r w:rsidRPr="007B4916">
              <w:rPr>
                <w:rFonts w:asciiTheme="minorEastAsia" w:eastAsiaTheme="minorEastAsia" w:hAnsiTheme="minorEastAsia"/>
                <w:kern w:val="0"/>
                <w:sz w:val="18"/>
                <w:szCs w:val="18"/>
              </w:rPr>
              <w:t>合计</w:t>
            </w:r>
          </w:p>
        </w:tc>
        <w:tc>
          <w:tcPr>
            <w:tcW w:w="1413" w:type="pct"/>
            <w:shd w:val="clear" w:color="auto" w:fill="auto"/>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 xml:space="preserve">   101,861,867.55 </w:t>
            </w:r>
          </w:p>
        </w:tc>
        <w:tc>
          <w:tcPr>
            <w:tcW w:w="1082" w:type="pct"/>
            <w:shd w:val="clear" w:color="auto" w:fill="auto"/>
            <w:vAlign w:val="center"/>
            <w:hideMark/>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37,917,908.62</w:t>
            </w:r>
          </w:p>
        </w:tc>
        <w:tc>
          <w:tcPr>
            <w:tcW w:w="1111" w:type="pct"/>
            <w:vAlign w:val="center"/>
          </w:tcPr>
          <w:p w:rsidR="006E4E9D" w:rsidRPr="007B4916" w:rsidRDefault="006E4E9D" w:rsidP="00376E7D">
            <w:pPr>
              <w:snapToGrid w:val="0"/>
              <w:spacing w:line="348" w:lineRule="auto"/>
              <w:jc w:val="right"/>
              <w:rPr>
                <w:rFonts w:asciiTheme="minorEastAsia" w:eastAsiaTheme="minorEastAsia" w:hAnsiTheme="minorEastAsia"/>
                <w:sz w:val="18"/>
                <w:szCs w:val="18"/>
              </w:rPr>
            </w:pPr>
            <w:r w:rsidRPr="007B4916">
              <w:rPr>
                <w:rFonts w:asciiTheme="minorEastAsia" w:eastAsiaTheme="minorEastAsia" w:hAnsiTheme="minorEastAsia"/>
                <w:sz w:val="18"/>
                <w:szCs w:val="18"/>
              </w:rPr>
              <w:t>63,943,958.93</w:t>
            </w:r>
          </w:p>
        </w:tc>
      </w:tr>
    </w:tbl>
    <w:p w:rsidR="006E4E9D" w:rsidRPr="005B7FB5" w:rsidRDefault="005B7FB5" w:rsidP="00376E7D">
      <w:pPr>
        <w:pStyle w:val="a9"/>
        <w:snapToGrid w:val="0"/>
        <w:spacing w:line="348" w:lineRule="auto"/>
        <w:ind w:left="480" w:firstLineChars="0" w:firstLine="0"/>
        <w:rPr>
          <w:rFonts w:asciiTheme="minorEastAsia" w:hAnsiTheme="minorEastAsia" w:cs="Times New Roman"/>
          <w:b/>
          <w:sz w:val="24"/>
          <w:szCs w:val="24"/>
        </w:rPr>
      </w:pPr>
      <w:bookmarkStart w:id="0" w:name="_GoBack"/>
      <w:bookmarkEnd w:id="0"/>
      <w:r>
        <w:rPr>
          <w:rFonts w:asciiTheme="minorEastAsia" w:hAnsiTheme="minorEastAsia" w:cs="Times New Roman" w:hint="eastAsia"/>
          <w:b/>
          <w:sz w:val="24"/>
          <w:szCs w:val="24"/>
        </w:rPr>
        <w:t>二、</w:t>
      </w:r>
      <w:r w:rsidR="003643E5" w:rsidRPr="005B7FB5">
        <w:rPr>
          <w:rFonts w:asciiTheme="minorEastAsia" w:hAnsiTheme="minorEastAsia" w:cs="宋体" w:hint="eastAsia"/>
          <w:b/>
          <w:sz w:val="24"/>
          <w:szCs w:val="24"/>
        </w:rPr>
        <w:t>后续拟采取的</w:t>
      </w:r>
      <w:r w:rsidR="006E4E9D" w:rsidRPr="005B7FB5">
        <w:rPr>
          <w:rFonts w:asciiTheme="minorEastAsia" w:hAnsiTheme="minorEastAsia" w:cs="Times New Roman" w:hint="eastAsia"/>
          <w:b/>
          <w:sz w:val="24"/>
          <w:szCs w:val="24"/>
        </w:rPr>
        <w:t>应对措施</w:t>
      </w:r>
    </w:p>
    <w:p w:rsidR="008644A5" w:rsidRDefault="003643E5" w:rsidP="00376E7D">
      <w:pPr>
        <w:snapToGrid w:val="0"/>
        <w:spacing w:line="348" w:lineRule="auto"/>
        <w:ind w:firstLineChars="200" w:firstLine="480"/>
        <w:rPr>
          <w:rFonts w:asciiTheme="minorEastAsia" w:eastAsiaTheme="minorEastAsia" w:hAnsiTheme="minorEastAsia"/>
          <w:sz w:val="24"/>
          <w:szCs w:val="24"/>
        </w:rPr>
      </w:pPr>
      <w:r w:rsidRPr="00E75265">
        <w:rPr>
          <w:rFonts w:asciiTheme="minorEastAsia" w:eastAsiaTheme="minorEastAsia" w:hAnsiTheme="minorEastAsia" w:hint="eastAsia"/>
          <w:sz w:val="24"/>
          <w:szCs w:val="24"/>
        </w:rPr>
        <w:t>1、由于电子级薄膜市场产能远大于需求，竞争激烈，价格下滑，公司采取加大终端电容器产品的国内外市场开拓，提升电容器产品销售，消化上游原材料电容膜产能，降低电容膜外销压力。同时积极开发电容器新产品，开拓新应用领域，进一步做大做强公司电容器产业。目前公司正在拓展</w:t>
      </w:r>
      <w:r w:rsidRPr="008644A5">
        <w:rPr>
          <w:rFonts w:asciiTheme="minorEastAsia" w:eastAsiaTheme="minorEastAsia" w:hAnsiTheme="minorEastAsia" w:hint="eastAsia"/>
          <w:sz w:val="24"/>
          <w:szCs w:val="24"/>
        </w:rPr>
        <w:t>电机、水泵、新能源汽车用电容器等新产品市场，已取得较好进展。2017年一季度，公司电容器产品销售收入同比上涨</w:t>
      </w:r>
      <w:r w:rsidR="008644A5" w:rsidRPr="008644A5">
        <w:rPr>
          <w:rFonts w:asciiTheme="minorEastAsia" w:eastAsiaTheme="minorEastAsia" w:hAnsiTheme="minorEastAsia"/>
          <w:sz w:val="24"/>
          <w:szCs w:val="24"/>
        </w:rPr>
        <w:t>40.82%</w:t>
      </w:r>
      <w:r w:rsidR="008644A5">
        <w:rPr>
          <w:rFonts w:asciiTheme="minorEastAsia" w:eastAsiaTheme="minorEastAsia" w:hAnsiTheme="minorEastAsia" w:hint="eastAsia"/>
          <w:sz w:val="24"/>
          <w:szCs w:val="24"/>
        </w:rPr>
        <w:t>。</w:t>
      </w:r>
    </w:p>
    <w:p w:rsidR="005B7FB5" w:rsidRPr="00E75265" w:rsidRDefault="003643E5" w:rsidP="00376E7D">
      <w:pPr>
        <w:snapToGrid w:val="0"/>
        <w:spacing w:line="348" w:lineRule="auto"/>
        <w:ind w:firstLineChars="200" w:firstLine="480"/>
        <w:rPr>
          <w:rFonts w:asciiTheme="minorEastAsia" w:eastAsiaTheme="minorEastAsia" w:hAnsiTheme="minorEastAsia" w:cs="宋体"/>
          <w:kern w:val="0"/>
          <w:sz w:val="24"/>
          <w:szCs w:val="24"/>
        </w:rPr>
      </w:pPr>
      <w:r w:rsidRPr="00E75265">
        <w:rPr>
          <w:rFonts w:asciiTheme="minorEastAsia" w:eastAsiaTheme="minorEastAsia" w:hAnsiTheme="minorEastAsia" w:hint="eastAsia"/>
          <w:sz w:val="24"/>
          <w:szCs w:val="24"/>
        </w:rPr>
        <w:t>2</w:t>
      </w:r>
      <w:r w:rsidR="005B7FB5" w:rsidRPr="00E75265">
        <w:rPr>
          <w:rFonts w:asciiTheme="minorEastAsia" w:eastAsiaTheme="minorEastAsia" w:hAnsiTheme="minorEastAsia" w:hint="eastAsia"/>
          <w:sz w:val="24"/>
          <w:szCs w:val="24"/>
        </w:rPr>
        <w:t>、</w:t>
      </w:r>
      <w:r w:rsidRPr="00E75265">
        <w:rPr>
          <w:rFonts w:asciiTheme="minorEastAsia" w:eastAsiaTheme="minorEastAsia" w:hAnsiTheme="minorEastAsia" w:cs="宋体" w:hint="eastAsia"/>
          <w:kern w:val="0"/>
          <w:sz w:val="24"/>
          <w:szCs w:val="24"/>
        </w:rPr>
        <w:t>优化产品结构，降低各项成本。一方面加大对传统产品的提质增效。进一步提升电容器等劳动密集型产品的自动化水平，提高劳动生产率。提升供应链管理，培育发展优质原辅材料供应商，从源头提升产品品质，降低产品成本。提升精益化生产管理水平，优化产品设计和工艺流程，降低材料消耗，稳定提升产品品质，提高产品合格率；全面实施节能改造工程，加大能源回收再用，降低能</w:t>
      </w:r>
      <w:r w:rsidRPr="00E75265">
        <w:rPr>
          <w:rFonts w:asciiTheme="minorEastAsia" w:eastAsiaTheme="minorEastAsia" w:hAnsiTheme="minorEastAsia" w:cs="宋体" w:hint="eastAsia"/>
          <w:kern w:val="0"/>
          <w:sz w:val="24"/>
          <w:szCs w:val="24"/>
        </w:rPr>
        <w:lastRenderedPageBreak/>
        <w:t>源消耗，多方位降低各项成本。另一方面针对行业发展趋势和国家政策导向，发展适销对路的中高端产品，加快产品结构调整，提升产品档次和市场竞争力。重点发展新能源和智能电网用薄膜材料、超薄型耐高温型薄膜材料、超级电容器、新能源汽车电容器等产品。</w:t>
      </w:r>
    </w:p>
    <w:p w:rsidR="005B7FB5" w:rsidRDefault="003643E5" w:rsidP="00376E7D">
      <w:pPr>
        <w:snapToGrid w:val="0"/>
        <w:spacing w:line="348" w:lineRule="auto"/>
        <w:ind w:firstLineChars="200" w:firstLine="480"/>
        <w:rPr>
          <w:rFonts w:asciiTheme="minorEastAsia" w:eastAsiaTheme="minorEastAsia" w:hAnsiTheme="minorEastAsia"/>
          <w:sz w:val="24"/>
          <w:szCs w:val="24"/>
        </w:rPr>
      </w:pPr>
      <w:r w:rsidRPr="00E75265">
        <w:rPr>
          <w:rFonts w:asciiTheme="minorEastAsia" w:eastAsiaTheme="minorEastAsia" w:hAnsiTheme="minorEastAsia" w:cs="宋体" w:hint="eastAsia"/>
          <w:kern w:val="0"/>
          <w:sz w:val="24"/>
          <w:szCs w:val="24"/>
        </w:rPr>
        <w:t>3</w:t>
      </w:r>
      <w:r w:rsidR="005B7FB5" w:rsidRPr="00E75265">
        <w:rPr>
          <w:rFonts w:asciiTheme="minorEastAsia" w:eastAsiaTheme="minorEastAsia" w:hAnsiTheme="minorEastAsia" w:cs="宋体" w:hint="eastAsia"/>
          <w:kern w:val="0"/>
          <w:sz w:val="24"/>
          <w:szCs w:val="24"/>
        </w:rPr>
        <w:t>、</w:t>
      </w:r>
      <w:r w:rsidR="00E06902">
        <w:rPr>
          <w:rFonts w:asciiTheme="minorEastAsia" w:eastAsiaTheme="minorEastAsia" w:hAnsiTheme="minorEastAsia" w:cs="宋体" w:hint="eastAsia"/>
          <w:kern w:val="0"/>
          <w:sz w:val="24"/>
          <w:szCs w:val="24"/>
        </w:rPr>
        <w:t>择机实施相关资产收购整合</w:t>
      </w:r>
      <w:r w:rsidRPr="00E75265">
        <w:rPr>
          <w:rFonts w:asciiTheme="minorEastAsia" w:eastAsiaTheme="minorEastAsia" w:hAnsiTheme="minorEastAsia" w:cs="宋体" w:hint="eastAsia"/>
          <w:kern w:val="0"/>
          <w:sz w:val="24"/>
          <w:szCs w:val="24"/>
        </w:rPr>
        <w:t>。</w:t>
      </w:r>
      <w:r w:rsidR="00E06902">
        <w:rPr>
          <w:rFonts w:asciiTheme="minorEastAsia" w:eastAsiaTheme="minorEastAsia" w:hAnsiTheme="minorEastAsia" w:hint="eastAsia"/>
          <w:sz w:val="24"/>
          <w:szCs w:val="24"/>
        </w:rPr>
        <w:t>面对行业竞争的严峻态势，公司考虑</w:t>
      </w:r>
      <w:r w:rsidR="002E0E39">
        <w:rPr>
          <w:rFonts w:asciiTheme="minorEastAsia" w:eastAsiaTheme="minorEastAsia" w:hAnsiTheme="minorEastAsia" w:hint="eastAsia"/>
          <w:sz w:val="24"/>
          <w:szCs w:val="24"/>
        </w:rPr>
        <w:t>可</w:t>
      </w:r>
      <w:r w:rsidRPr="00E75265">
        <w:rPr>
          <w:rFonts w:asciiTheme="minorEastAsia" w:eastAsiaTheme="minorEastAsia" w:hAnsiTheme="minorEastAsia" w:hint="eastAsia"/>
          <w:sz w:val="24"/>
          <w:szCs w:val="24"/>
        </w:rPr>
        <w:t>通过横向并购电容器优质资产，扩大市场占有率，增加价格协同，同时消化自身的上游产能；或进行产业链延伸，进入行业相关具有高</w:t>
      </w:r>
      <w:r w:rsidR="00AE7415">
        <w:rPr>
          <w:rFonts w:asciiTheme="minorEastAsia" w:eastAsiaTheme="minorEastAsia" w:hAnsiTheme="minorEastAsia" w:hint="eastAsia"/>
          <w:sz w:val="24"/>
          <w:szCs w:val="24"/>
        </w:rPr>
        <w:t>成长潜力的新兴行业，对产业链进行战略布局，为未来成长做好铺垫；也可</w:t>
      </w:r>
      <w:r w:rsidRPr="00E75265">
        <w:rPr>
          <w:rFonts w:asciiTheme="minorEastAsia" w:eastAsiaTheme="minorEastAsia" w:hAnsiTheme="minorEastAsia" w:hint="eastAsia"/>
          <w:sz w:val="24"/>
          <w:szCs w:val="24"/>
        </w:rPr>
        <w:t>收购产业链下游的器件企业，提升公司的系统集成能力，逐步转型。</w:t>
      </w:r>
    </w:p>
    <w:p w:rsidR="005B7FB5" w:rsidRDefault="00E75265" w:rsidP="00376E7D">
      <w:pPr>
        <w:snapToGrid w:val="0"/>
        <w:spacing w:line="348" w:lineRule="auto"/>
        <w:ind w:firstLineChars="200" w:firstLine="482"/>
        <w:rPr>
          <w:rFonts w:asciiTheme="minorEastAsia" w:eastAsiaTheme="minorEastAsia" w:hAnsiTheme="minorEastAsia"/>
          <w:b/>
          <w:sz w:val="24"/>
          <w:szCs w:val="24"/>
        </w:rPr>
      </w:pPr>
      <w:r w:rsidRPr="00E75265">
        <w:rPr>
          <w:rFonts w:asciiTheme="minorEastAsia" w:eastAsiaTheme="minorEastAsia" w:hAnsiTheme="minorEastAsia" w:cs="宋体" w:hint="eastAsia"/>
          <w:b/>
          <w:sz w:val="24"/>
          <w:szCs w:val="24"/>
        </w:rPr>
        <w:t>答复：（2）</w:t>
      </w:r>
      <w:r w:rsidR="006E4E9D" w:rsidRPr="00E75265">
        <w:rPr>
          <w:rFonts w:asciiTheme="minorEastAsia" w:eastAsiaTheme="minorEastAsia" w:hAnsiTheme="minorEastAsia" w:hint="eastAsia"/>
          <w:b/>
          <w:sz w:val="24"/>
          <w:szCs w:val="24"/>
        </w:rPr>
        <w:t>在各季度收入相对平稳的情形下，补充披露主营净利润大幅变动的原因</w:t>
      </w:r>
      <w:r>
        <w:rPr>
          <w:rFonts w:asciiTheme="minorEastAsia" w:eastAsiaTheme="minorEastAsia" w:hAnsiTheme="minorEastAsia" w:hint="eastAsia"/>
          <w:b/>
          <w:sz w:val="24"/>
          <w:szCs w:val="24"/>
        </w:rPr>
        <w:t>。</w:t>
      </w:r>
    </w:p>
    <w:p w:rsidR="005B7FB5" w:rsidRPr="00E75265" w:rsidRDefault="00321188" w:rsidP="00376E7D">
      <w:pPr>
        <w:snapToGrid w:val="0"/>
        <w:spacing w:line="348"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w:t>
      </w:r>
      <w:r w:rsidR="006E4E9D" w:rsidRPr="00E75265">
        <w:rPr>
          <w:rFonts w:asciiTheme="minorEastAsia" w:eastAsiaTheme="minorEastAsia" w:hAnsiTheme="minorEastAsia" w:hint="eastAsia"/>
          <w:sz w:val="24"/>
          <w:szCs w:val="24"/>
        </w:rPr>
        <w:t>2016年第1-4季度分别实现收入1.51亿、1.62亿、1.35亿和1.42亿，同期实现的扣非后净利润分别为-4,391万元、-3,116万元、-3,739万元和-15,253万元。造成主营净利润大幅变动的原因主要有以</w:t>
      </w:r>
      <w:r w:rsidR="005B7FB5" w:rsidRPr="00E75265">
        <w:rPr>
          <w:rFonts w:asciiTheme="minorEastAsia" w:eastAsiaTheme="minorEastAsia" w:hAnsiTheme="minorEastAsia" w:hint="eastAsia"/>
          <w:sz w:val="24"/>
          <w:szCs w:val="24"/>
        </w:rPr>
        <w:t>下两点：</w:t>
      </w:r>
    </w:p>
    <w:p w:rsidR="005B7FB5" w:rsidRPr="00E75265" w:rsidRDefault="006E4E9D" w:rsidP="00376E7D">
      <w:pPr>
        <w:snapToGrid w:val="0"/>
        <w:spacing w:line="348" w:lineRule="auto"/>
        <w:ind w:firstLineChars="200" w:firstLine="480"/>
        <w:rPr>
          <w:rFonts w:asciiTheme="minorEastAsia" w:eastAsiaTheme="minorEastAsia" w:hAnsiTheme="minorEastAsia"/>
          <w:sz w:val="24"/>
          <w:szCs w:val="24"/>
        </w:rPr>
      </w:pPr>
      <w:r w:rsidRPr="00E75265">
        <w:rPr>
          <w:rFonts w:asciiTheme="minorEastAsia" w:eastAsiaTheme="minorEastAsia" w:hAnsiTheme="minorEastAsia" w:hint="eastAsia"/>
          <w:sz w:val="24"/>
          <w:szCs w:val="24"/>
        </w:rPr>
        <w:t>1、2016年第四季度计提资产减值准备7,812.11万元。主要是子公司</w:t>
      </w:r>
      <w:r w:rsidR="0052039C">
        <w:rPr>
          <w:rFonts w:asciiTheme="minorEastAsia" w:eastAsiaTheme="minorEastAsia" w:hAnsiTheme="minorEastAsia" w:hint="eastAsia"/>
          <w:sz w:val="24"/>
          <w:szCs w:val="24"/>
        </w:rPr>
        <w:t>铜陵市</w:t>
      </w:r>
      <w:r w:rsidRPr="00E75265">
        <w:rPr>
          <w:rFonts w:asciiTheme="minorEastAsia" w:eastAsiaTheme="minorEastAsia" w:hAnsiTheme="minorEastAsia" w:hint="eastAsia"/>
          <w:sz w:val="24"/>
          <w:szCs w:val="24"/>
        </w:rPr>
        <w:t>三科电子</w:t>
      </w:r>
      <w:r w:rsidR="0052039C">
        <w:rPr>
          <w:rFonts w:asciiTheme="minorEastAsia" w:eastAsiaTheme="minorEastAsia" w:hAnsiTheme="minorEastAsia" w:hint="eastAsia"/>
          <w:sz w:val="24"/>
          <w:szCs w:val="24"/>
        </w:rPr>
        <w:t>有限责任公司</w:t>
      </w:r>
      <w:r w:rsidRPr="00E75265">
        <w:rPr>
          <w:rFonts w:asciiTheme="minorEastAsia" w:eastAsiaTheme="minorEastAsia" w:hAnsiTheme="minorEastAsia" w:hint="eastAsia"/>
          <w:sz w:val="24"/>
          <w:szCs w:val="24"/>
        </w:rPr>
        <w:t>和</w:t>
      </w:r>
      <w:r w:rsidR="0052039C">
        <w:rPr>
          <w:rFonts w:hint="eastAsia"/>
          <w:sz w:val="24"/>
          <w:szCs w:val="24"/>
        </w:rPr>
        <w:t>铜陵市铜峰光电科技有限公司</w:t>
      </w:r>
      <w:r w:rsidRPr="00E75265">
        <w:rPr>
          <w:rFonts w:asciiTheme="minorEastAsia" w:eastAsiaTheme="minorEastAsia" w:hAnsiTheme="minorEastAsia" w:hint="eastAsia"/>
          <w:sz w:val="24"/>
          <w:szCs w:val="24"/>
        </w:rPr>
        <w:t>2016年第四季度经营亏损持续扩大，所以在资产负债表日，对这两家子公司存货、固定资产</w:t>
      </w:r>
      <w:r w:rsidR="00376E7D">
        <w:rPr>
          <w:rFonts w:asciiTheme="minorEastAsia" w:eastAsiaTheme="minorEastAsia" w:hAnsiTheme="minorEastAsia" w:hint="eastAsia"/>
          <w:sz w:val="24"/>
          <w:szCs w:val="24"/>
        </w:rPr>
        <w:t>和无形资产进行减值测试，计提了资产减值准备。</w:t>
      </w:r>
    </w:p>
    <w:p w:rsidR="008545A7" w:rsidRDefault="006E4E9D" w:rsidP="00376E7D">
      <w:pPr>
        <w:snapToGrid w:val="0"/>
        <w:spacing w:line="348" w:lineRule="auto"/>
        <w:ind w:firstLineChars="200" w:firstLine="480"/>
        <w:rPr>
          <w:rFonts w:asciiTheme="minorEastAsia" w:eastAsiaTheme="minorEastAsia" w:hAnsiTheme="minorEastAsia"/>
          <w:sz w:val="24"/>
          <w:szCs w:val="24"/>
        </w:rPr>
      </w:pPr>
      <w:r w:rsidRPr="00E75265">
        <w:rPr>
          <w:rFonts w:asciiTheme="minorEastAsia" w:eastAsiaTheme="minorEastAsia" w:hAnsiTheme="minorEastAsia" w:hint="eastAsia"/>
          <w:sz w:val="24"/>
          <w:szCs w:val="24"/>
        </w:rPr>
        <w:t>2、2016年12月，子公司</w:t>
      </w:r>
      <w:r w:rsidR="0052039C">
        <w:rPr>
          <w:rFonts w:hint="eastAsia"/>
          <w:sz w:val="24"/>
          <w:szCs w:val="24"/>
        </w:rPr>
        <w:t>铜陵市铜峰光电科技有限公司</w:t>
      </w:r>
      <w:r w:rsidRPr="00E75265">
        <w:rPr>
          <w:rFonts w:asciiTheme="minorEastAsia" w:eastAsiaTheme="minorEastAsia" w:hAnsiTheme="minorEastAsia" w:hint="eastAsia"/>
          <w:sz w:val="24"/>
          <w:szCs w:val="24"/>
        </w:rPr>
        <w:t>处理LED支架一批</w:t>
      </w:r>
      <w:r w:rsidRPr="00E75265">
        <w:rPr>
          <w:rFonts w:asciiTheme="minorEastAsia" w:eastAsiaTheme="minorEastAsia" w:hAnsiTheme="minorEastAsia"/>
          <w:sz w:val="24"/>
          <w:szCs w:val="24"/>
        </w:rPr>
        <w:t>95</w:t>
      </w:r>
      <w:r w:rsidRPr="00E75265">
        <w:rPr>
          <w:rFonts w:asciiTheme="minorEastAsia" w:eastAsiaTheme="minorEastAsia" w:hAnsiTheme="minorEastAsia" w:hint="eastAsia"/>
          <w:sz w:val="24"/>
          <w:szCs w:val="24"/>
        </w:rPr>
        <w:t>.</w:t>
      </w:r>
      <w:r w:rsidRPr="00E75265">
        <w:rPr>
          <w:rFonts w:asciiTheme="minorEastAsia" w:eastAsiaTheme="minorEastAsia" w:hAnsiTheme="minorEastAsia"/>
          <w:sz w:val="24"/>
          <w:szCs w:val="24"/>
        </w:rPr>
        <w:t>5</w:t>
      </w:r>
      <w:r w:rsidRPr="00E75265">
        <w:rPr>
          <w:rFonts w:asciiTheme="minorEastAsia" w:eastAsiaTheme="minorEastAsia" w:hAnsiTheme="minorEastAsia" w:hint="eastAsia"/>
          <w:sz w:val="24"/>
          <w:szCs w:val="24"/>
        </w:rPr>
        <w:t>3万元，成本2</w:t>
      </w:r>
      <w:r w:rsidR="003A1AF8">
        <w:rPr>
          <w:rFonts w:asciiTheme="minorEastAsia" w:eastAsiaTheme="minorEastAsia" w:hAnsiTheme="minorEastAsia" w:hint="eastAsia"/>
          <w:sz w:val="24"/>
          <w:szCs w:val="24"/>
        </w:rPr>
        <w:t>,</w:t>
      </w:r>
      <w:r w:rsidRPr="00E75265">
        <w:rPr>
          <w:rFonts w:asciiTheme="minorEastAsia" w:eastAsiaTheme="minorEastAsia" w:hAnsiTheme="minorEastAsia" w:hint="eastAsia"/>
          <w:sz w:val="24"/>
          <w:szCs w:val="24"/>
        </w:rPr>
        <w:t>611.37万元，亏损2,515.84万元。</w:t>
      </w:r>
    </w:p>
    <w:p w:rsidR="003C7679" w:rsidRPr="00E75265" w:rsidRDefault="003C7679" w:rsidP="00376E7D">
      <w:pPr>
        <w:snapToGrid w:val="0"/>
        <w:spacing w:line="348" w:lineRule="auto"/>
        <w:ind w:firstLineChars="200" w:firstLine="480"/>
        <w:rPr>
          <w:rFonts w:asciiTheme="minorEastAsia" w:eastAsiaTheme="minorEastAsia" w:hAnsiTheme="minorEastAsia"/>
          <w:sz w:val="24"/>
          <w:szCs w:val="24"/>
        </w:rPr>
      </w:pPr>
    </w:p>
    <w:p w:rsidR="006F7727" w:rsidRPr="003C7679" w:rsidRDefault="000652AB" w:rsidP="00376E7D">
      <w:pPr>
        <w:pStyle w:val="a9"/>
        <w:snapToGrid w:val="0"/>
        <w:spacing w:line="348" w:lineRule="auto"/>
        <w:ind w:left="480" w:firstLineChars="0" w:firstLine="0"/>
        <w:rPr>
          <w:rFonts w:ascii="黑体" w:eastAsia="黑体" w:hAnsi="黑体" w:cs="宋体"/>
          <w:sz w:val="28"/>
          <w:szCs w:val="28"/>
        </w:rPr>
      </w:pPr>
      <w:r w:rsidRPr="003C7679">
        <w:rPr>
          <w:rFonts w:ascii="黑体" w:eastAsia="黑体" w:hAnsi="黑体" w:cs="宋体" w:hint="eastAsia"/>
          <w:sz w:val="28"/>
          <w:szCs w:val="28"/>
        </w:rPr>
        <w:t xml:space="preserve"> 二、关于资产减值损失计提。</w:t>
      </w:r>
    </w:p>
    <w:p w:rsidR="00461A74" w:rsidRDefault="006F7727" w:rsidP="00376E7D">
      <w:pPr>
        <w:pStyle w:val="Default"/>
        <w:snapToGrid w:val="0"/>
        <w:spacing w:line="348" w:lineRule="auto"/>
        <w:rPr>
          <w:rFonts w:asciiTheme="minorEastAsia" w:eastAsiaTheme="minorEastAsia" w:hAnsiTheme="minorEastAsia" w:cs="宋体"/>
        </w:rPr>
      </w:pPr>
      <w:r>
        <w:rPr>
          <w:rFonts w:asciiTheme="minorEastAsia" w:eastAsiaTheme="minorEastAsia" w:hAnsiTheme="minorEastAsia" w:cs="宋体" w:hint="eastAsia"/>
        </w:rPr>
        <w:t xml:space="preserve">    </w:t>
      </w:r>
      <w:r w:rsidR="000652AB" w:rsidRPr="002664D8">
        <w:rPr>
          <w:rFonts w:asciiTheme="minorEastAsia" w:eastAsiaTheme="minorEastAsia" w:hAnsiTheme="minorEastAsia" w:cs="宋体"/>
        </w:rPr>
        <w:t>2016</w:t>
      </w:r>
      <w:r w:rsidR="000652AB" w:rsidRPr="002664D8">
        <w:rPr>
          <w:rFonts w:asciiTheme="minorEastAsia" w:eastAsiaTheme="minorEastAsia" w:hAnsiTheme="minorEastAsia" w:cs="宋体" w:hint="eastAsia"/>
        </w:rPr>
        <w:t>年公司计提减值准备</w:t>
      </w:r>
      <w:r w:rsidR="000652AB" w:rsidRPr="002664D8">
        <w:rPr>
          <w:rFonts w:asciiTheme="minorEastAsia" w:eastAsiaTheme="minorEastAsia" w:hAnsiTheme="minorEastAsia" w:cs="宋体"/>
        </w:rPr>
        <w:t>1.02</w:t>
      </w:r>
      <w:r w:rsidR="000652AB" w:rsidRPr="002664D8">
        <w:rPr>
          <w:rFonts w:asciiTheme="minorEastAsia" w:eastAsiaTheme="minorEastAsia" w:hAnsiTheme="minorEastAsia" w:cs="宋体" w:hint="eastAsia"/>
        </w:rPr>
        <w:t>亿元，较上年增长</w:t>
      </w:r>
      <w:r w:rsidR="000652AB" w:rsidRPr="002664D8">
        <w:rPr>
          <w:rFonts w:asciiTheme="minorEastAsia" w:eastAsiaTheme="minorEastAsia" w:hAnsiTheme="minorEastAsia" w:cs="宋体"/>
        </w:rPr>
        <w:t>168.64%</w:t>
      </w:r>
      <w:r w:rsidR="000652AB" w:rsidRPr="002664D8">
        <w:rPr>
          <w:rFonts w:asciiTheme="minorEastAsia" w:eastAsiaTheme="minorEastAsia" w:hAnsiTheme="minorEastAsia" w:cs="宋体" w:hint="eastAsia"/>
        </w:rPr>
        <w:t>，主要是由于对应收账款、固定资产计提所致。其中，公司对多名客户共计</w:t>
      </w:r>
      <w:r w:rsidR="000652AB" w:rsidRPr="002664D8">
        <w:rPr>
          <w:rFonts w:asciiTheme="minorEastAsia" w:eastAsiaTheme="minorEastAsia" w:hAnsiTheme="minorEastAsia" w:cs="宋体"/>
        </w:rPr>
        <w:t>5,396.89</w:t>
      </w:r>
      <w:r w:rsidR="000652AB" w:rsidRPr="002664D8">
        <w:rPr>
          <w:rFonts w:asciiTheme="minorEastAsia" w:eastAsiaTheme="minorEastAsia" w:hAnsiTheme="minorEastAsia" w:cs="宋体" w:hint="eastAsia"/>
        </w:rPr>
        <w:t>万元应收账款全额计提减值准备，请补充披露上述应收账款的账龄、以前年度的计提情况、本年度集中全额计提的原因和依据；公司对机器设备类计提减值准备</w:t>
      </w:r>
      <w:r w:rsidR="000652AB" w:rsidRPr="002664D8">
        <w:rPr>
          <w:rFonts w:asciiTheme="minorEastAsia" w:eastAsiaTheme="minorEastAsia" w:hAnsiTheme="minorEastAsia" w:cs="宋体"/>
        </w:rPr>
        <w:t>3,957.47</w:t>
      </w:r>
      <w:r w:rsidR="000652AB" w:rsidRPr="002664D8">
        <w:rPr>
          <w:rFonts w:asciiTheme="minorEastAsia" w:eastAsiaTheme="minorEastAsia" w:hAnsiTheme="minorEastAsia" w:cs="宋体" w:hint="eastAsia"/>
        </w:rPr>
        <w:t>万元，请结合该机器设备的产出效率等因素补充披露以前年度的计提情况、本年度大额计提的原因及其合理性。请年审会计师发表意见。</w:t>
      </w:r>
    </w:p>
    <w:p w:rsidR="00B125BA" w:rsidRDefault="00461A74" w:rsidP="00376E7D">
      <w:pPr>
        <w:pStyle w:val="Default"/>
        <w:snapToGrid w:val="0"/>
        <w:spacing w:line="348" w:lineRule="auto"/>
        <w:rPr>
          <w:rFonts w:asciiTheme="minorEastAsia" w:eastAsiaTheme="minorEastAsia" w:hAnsiTheme="minorEastAsia" w:cs="Times New Roman"/>
          <w:b/>
        </w:rPr>
        <w:sectPr w:rsidR="00B125BA" w:rsidSect="00461A74">
          <w:footerReference w:type="default" r:id="rId8"/>
          <w:pgSz w:w="11906" w:h="16838"/>
          <w:pgMar w:top="1440" w:right="1800" w:bottom="1440" w:left="1800" w:header="851" w:footer="992" w:gutter="0"/>
          <w:cols w:space="425"/>
          <w:docGrid w:type="lines" w:linePitch="312"/>
        </w:sectPr>
      </w:pPr>
      <w:r w:rsidRPr="00A52031">
        <w:rPr>
          <w:rFonts w:asciiTheme="minorEastAsia" w:eastAsiaTheme="minorEastAsia" w:hAnsiTheme="minorEastAsia" w:cs="宋体" w:hint="eastAsia"/>
          <w:b/>
        </w:rPr>
        <w:t xml:space="preserve">    </w:t>
      </w:r>
      <w:r w:rsidR="006F7727" w:rsidRPr="00A52031">
        <w:rPr>
          <w:rFonts w:asciiTheme="minorEastAsia" w:eastAsiaTheme="minorEastAsia" w:hAnsiTheme="minorEastAsia" w:cs="宋体" w:hint="eastAsia"/>
          <w:b/>
        </w:rPr>
        <w:t>答复：</w:t>
      </w:r>
      <w:r w:rsidRPr="00A52031">
        <w:rPr>
          <w:rFonts w:asciiTheme="minorEastAsia" w:eastAsiaTheme="minorEastAsia" w:hAnsiTheme="minorEastAsia" w:cs="宋体" w:hint="eastAsia"/>
          <w:b/>
        </w:rPr>
        <w:t>（一）</w:t>
      </w:r>
      <w:r w:rsidRPr="00A52031">
        <w:rPr>
          <w:rFonts w:asciiTheme="minorEastAsia" w:eastAsiaTheme="minorEastAsia" w:hAnsiTheme="minorEastAsia" w:cs="Times New Roman"/>
          <w:b/>
        </w:rPr>
        <w:t>公司对多名客户共计5,396.89万元全额计提应收账款坏账准备，现补充披露上述应收账款的账龄、以前年度的计提情况、本年度集中全额计提的原因和依据如下</w:t>
      </w:r>
      <w:r w:rsidR="00717C9C">
        <w:rPr>
          <w:rFonts w:asciiTheme="minorEastAsia" w:eastAsiaTheme="minorEastAsia" w:hAnsiTheme="minorEastAsia" w:cs="Times New Roman" w:hint="eastAsia"/>
          <w:b/>
        </w:rPr>
        <w:t>表</w:t>
      </w:r>
      <w:r w:rsidR="00321188">
        <w:rPr>
          <w:rFonts w:asciiTheme="minorEastAsia" w:eastAsiaTheme="minorEastAsia" w:hAnsiTheme="minorEastAsia" w:cs="Times New Roman" w:hint="eastAsia"/>
          <w:b/>
        </w:rPr>
        <w:t>：</w:t>
      </w:r>
    </w:p>
    <w:p w:rsidR="00461245" w:rsidRDefault="005D3691" w:rsidP="00DC2E56">
      <w:pPr>
        <w:pStyle w:val="Default"/>
        <w:adjustRightInd/>
        <w:snapToGrid w:val="0"/>
        <w:spacing w:line="307" w:lineRule="auto"/>
        <w:jc w:val="center"/>
        <w:rPr>
          <w:rFonts w:hAnsi="黑体" w:cs="Times New Roman"/>
          <w:b/>
          <w:sz w:val="28"/>
          <w:szCs w:val="28"/>
        </w:rPr>
      </w:pPr>
      <w:r>
        <w:rPr>
          <w:rFonts w:hAnsi="黑体" w:cs="Times New Roman" w:hint="eastAsia"/>
          <w:b/>
          <w:sz w:val="28"/>
          <w:szCs w:val="28"/>
        </w:rPr>
        <w:lastRenderedPageBreak/>
        <w:t>全额</w:t>
      </w:r>
      <w:r w:rsidR="006F0D0A">
        <w:rPr>
          <w:rFonts w:hAnsi="黑体" w:cs="Times New Roman" w:hint="eastAsia"/>
          <w:b/>
          <w:sz w:val="28"/>
          <w:szCs w:val="28"/>
        </w:rPr>
        <w:t>计提</w:t>
      </w:r>
      <w:r w:rsidR="006F0D0A" w:rsidRPr="006F0D0A">
        <w:rPr>
          <w:rFonts w:hAnsi="黑体" w:cs="Times New Roman" w:hint="eastAsia"/>
          <w:b/>
          <w:sz w:val="28"/>
          <w:szCs w:val="28"/>
        </w:rPr>
        <w:t>应</w:t>
      </w:r>
      <w:r w:rsidR="006F0D0A" w:rsidRPr="006F0D0A">
        <w:rPr>
          <w:rFonts w:hAnsi="黑体" w:cs="Times New Roman"/>
          <w:b/>
          <w:sz w:val="28"/>
          <w:szCs w:val="28"/>
        </w:rPr>
        <w:t>收账款坏账准</w:t>
      </w:r>
      <w:r w:rsidR="006F0D0A" w:rsidRPr="006F0D0A">
        <w:rPr>
          <w:rFonts w:hAnsi="黑体" w:cs="Times New Roman" w:hint="eastAsia"/>
          <w:b/>
          <w:sz w:val="28"/>
          <w:szCs w:val="28"/>
        </w:rPr>
        <w:t>备</w:t>
      </w:r>
      <w:r w:rsidR="00F332A0">
        <w:rPr>
          <w:rFonts w:hAnsi="黑体" w:cs="Times New Roman" w:hint="eastAsia"/>
          <w:b/>
          <w:sz w:val="28"/>
          <w:szCs w:val="28"/>
        </w:rPr>
        <w:t>情况</w:t>
      </w:r>
      <w:r w:rsidR="006F0D0A" w:rsidRPr="006F0D0A">
        <w:rPr>
          <w:rFonts w:hAnsi="黑体" w:cs="Times New Roman" w:hint="eastAsia"/>
          <w:b/>
          <w:sz w:val="28"/>
          <w:szCs w:val="28"/>
        </w:rPr>
        <w:t>表</w:t>
      </w:r>
    </w:p>
    <w:p w:rsidR="00DC2E56" w:rsidRPr="00DC2E56" w:rsidRDefault="00DC2E56" w:rsidP="00DC2E56">
      <w:pPr>
        <w:pStyle w:val="Default"/>
        <w:adjustRightInd/>
        <w:snapToGrid w:val="0"/>
        <w:spacing w:line="307" w:lineRule="auto"/>
        <w:jc w:val="center"/>
        <w:rPr>
          <w:rFonts w:asciiTheme="minorEastAsia" w:eastAsiaTheme="minorEastAsia" w:hAnsiTheme="minorEastAsia" w:cs="Times New Roman"/>
        </w:rPr>
      </w:pPr>
      <w:r>
        <w:rPr>
          <w:rFonts w:hAnsi="黑体" w:cs="Times New Roman" w:hint="eastAsia"/>
          <w:b/>
          <w:sz w:val="28"/>
          <w:szCs w:val="28"/>
        </w:rPr>
        <w:t xml:space="preserve">                                                                       </w:t>
      </w:r>
      <w:r w:rsidRPr="00DC2E56">
        <w:rPr>
          <w:rFonts w:asciiTheme="minorEastAsia" w:eastAsiaTheme="minorEastAsia" w:hAnsiTheme="minorEastAsia" w:cs="Times New Roman" w:hint="eastAsia"/>
        </w:rPr>
        <w:t>单位：元</w:t>
      </w:r>
    </w:p>
    <w:tbl>
      <w:tblPr>
        <w:tblW w:w="14614" w:type="dxa"/>
        <w:tblInd w:w="95" w:type="dxa"/>
        <w:tblLook w:val="04A0"/>
      </w:tblPr>
      <w:tblGrid>
        <w:gridCol w:w="722"/>
        <w:gridCol w:w="1276"/>
        <w:gridCol w:w="1276"/>
        <w:gridCol w:w="1275"/>
        <w:gridCol w:w="1276"/>
        <w:gridCol w:w="1134"/>
        <w:gridCol w:w="1276"/>
        <w:gridCol w:w="1276"/>
        <w:gridCol w:w="1275"/>
        <w:gridCol w:w="1134"/>
        <w:gridCol w:w="1276"/>
        <w:gridCol w:w="1418"/>
      </w:tblGrid>
      <w:tr w:rsidR="00717C9C" w:rsidRPr="00B125BA" w:rsidTr="00E6435A">
        <w:trPr>
          <w:trHeight w:val="272"/>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应收账款（按单位）</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期初余额</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期末余额</w:t>
            </w:r>
          </w:p>
        </w:tc>
        <w:tc>
          <w:tcPr>
            <w:tcW w:w="7371" w:type="dxa"/>
            <w:gridSpan w:val="6"/>
            <w:tcBorders>
              <w:top w:val="single" w:sz="4" w:space="0" w:color="auto"/>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账</w:t>
            </w:r>
            <w:r w:rsidR="00DC2E56">
              <w:rPr>
                <w:rFonts w:asciiTheme="minorEastAsia" w:eastAsiaTheme="minorEastAsia" w:hAnsiTheme="minorEastAsia" w:cs="宋体" w:hint="eastAsia"/>
                <w:kern w:val="0"/>
                <w:sz w:val="15"/>
                <w:szCs w:val="15"/>
              </w:rPr>
              <w:t xml:space="preserve">  </w:t>
            </w:r>
            <w:r w:rsidRPr="00B125BA">
              <w:rPr>
                <w:rFonts w:asciiTheme="minorEastAsia" w:eastAsiaTheme="minorEastAsia" w:hAnsiTheme="minorEastAsia" w:cs="宋体" w:hint="eastAsia"/>
                <w:kern w:val="0"/>
                <w:sz w:val="15"/>
                <w:szCs w:val="15"/>
              </w:rPr>
              <w:t>龄</w:t>
            </w:r>
          </w:p>
        </w:tc>
        <w:tc>
          <w:tcPr>
            <w:tcW w:w="1418" w:type="dxa"/>
            <w:vMerge w:val="restart"/>
            <w:tcBorders>
              <w:top w:val="single" w:sz="4" w:space="0" w:color="auto"/>
              <w:left w:val="nil"/>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计提理由</w:t>
            </w:r>
          </w:p>
        </w:tc>
      </w:tr>
      <w:tr w:rsidR="00717C9C" w:rsidRPr="00B125BA" w:rsidTr="00E6435A">
        <w:trPr>
          <w:trHeight w:val="272"/>
        </w:trPr>
        <w:tc>
          <w:tcPr>
            <w:tcW w:w="722" w:type="dxa"/>
            <w:vMerge/>
            <w:tcBorders>
              <w:top w:val="single" w:sz="4" w:space="0" w:color="auto"/>
              <w:left w:val="single" w:sz="4" w:space="0" w:color="auto"/>
              <w:bottom w:val="single" w:sz="4" w:space="0" w:color="auto"/>
              <w:right w:val="single" w:sz="4" w:space="0" w:color="auto"/>
            </w:tcBorders>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应收账款</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坏账准备</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应收账款</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坏账准备</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1年以内</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1至2年</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2至3年</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3至4年</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4至5年</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5年以上</w:t>
            </w:r>
          </w:p>
        </w:tc>
        <w:tc>
          <w:tcPr>
            <w:tcW w:w="1418" w:type="dxa"/>
            <w:vMerge/>
            <w:tcBorders>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center"/>
              <w:rPr>
                <w:rFonts w:asciiTheme="minorEastAsia" w:eastAsiaTheme="minorEastAsia" w:hAnsiTheme="minorEastAsia" w:cs="宋体"/>
                <w:kern w:val="0"/>
                <w:sz w:val="15"/>
                <w:szCs w:val="15"/>
              </w:rPr>
            </w:pP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6,760,362.56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6,760,362.56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6,760,362.56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6,760,362.56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6,760,362.56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3,253,001.54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3,253,001.54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3,253,001.54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3,253,001.54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11,995.20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1,067,057.20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2,173,949.14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2,749,952.32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2,749,952.32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2,749,952.32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2,749,952.32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2,211,825.40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538,126.92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3,651,725.02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3,651,725.02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3,651,725.02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合同纠纷，已诉讼</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单位5</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3,401,498.05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3,401,498.05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60,923.50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672,177.08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2,668,397.47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诉讼阶段</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单位6</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2,569,394.70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2,569,394.70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2,201,585.00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367,809.70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欠款账龄较长，收回可能性较小</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单位7</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2,039,202.33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2,039,202.33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1,763,459.95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275,742.38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欠款账龄较长，收回可能性较小</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单位8</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2,095,654.71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2,095,654.71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2,095,654.71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2,095,654.71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36,878.20 </w:t>
            </w:r>
          </w:p>
        </w:tc>
        <w:tc>
          <w:tcPr>
            <w:tcW w:w="1134"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2,058,776.51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单位9</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1,576,765.42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331,104.39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251,594.11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251,594.11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251,594.11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单位10</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1,506,993.43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1,506,993.43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1,531,149.87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1,531,149.87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44,106.10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141,348.91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  67,651.80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691,702.85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586,340.21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单位11</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1,497,302.00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1,497,302.00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1,497,302.00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1,497,302.00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985,000.00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512,302.00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单位12</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1,222,529.18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1,222,529.18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1,222,529.18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1,222,529.18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1,222,529.18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单位13</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1,141,855.81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1,141,855.81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1,141,855.81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1,141,855.81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1,141,855.81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单位14</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1,110,801.82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333,423.85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283,803.98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283,803.98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283,803.98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单位15</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1,015,977.03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1,015,977.03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1,025,995.69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1,025,995.69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208,145.12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138,449.78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178,496.10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172,452.10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67,682.00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260,770.59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单位16</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879,279.05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879,279.05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879,279.05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879,279.05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423,678.06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455,600.99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0.00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单位17</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874,612.39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874,612.39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874,612.39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874,612.39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874,612.39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单位18</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688,906.56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688,906.56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688,906.56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688,906.56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688,906.56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单位19</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600,920.21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600,920.21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600,920.21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600,920.21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600,920.21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单位20</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544,384.20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544,384.20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544,384.20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544,384.20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208,084.00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46,214.10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290,086.10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单位21</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413,182.00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413,182.00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413,182.00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413,182.00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413,182.00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lastRenderedPageBreak/>
              <w:t>单位22</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404,585.83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404,585.83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404,585.83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404,585.83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404,585.83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单位23</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380,725.19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380,725.19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380,725.19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380,725.19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380,725.19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单位24</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364,787.93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364,787.93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364,787.93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364,787.93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364,787.93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单位25</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349,954.43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349,954.43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174,054.35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174,054.35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174,054.35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单位26</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324,960.70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324,960.70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324,960.70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324,960.70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324,960.70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单位27</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296,786.88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296,786.88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244,754.88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244,754.88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244,754.88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717C9C"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单位28</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207,349.66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207,349.66 </w:t>
            </w:r>
          </w:p>
        </w:tc>
        <w:tc>
          <w:tcPr>
            <w:tcW w:w="1275"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207,349.66 </w:t>
            </w:r>
          </w:p>
        </w:tc>
        <w:tc>
          <w:tcPr>
            <w:tcW w:w="1276" w:type="dxa"/>
            <w:tcBorders>
              <w:top w:val="nil"/>
              <w:left w:val="nil"/>
              <w:bottom w:val="single" w:sz="4" w:space="0" w:color="auto"/>
              <w:right w:val="single" w:sz="4" w:space="0" w:color="auto"/>
            </w:tcBorders>
            <w:shd w:val="clear" w:color="auto" w:fill="auto"/>
            <w:vAlign w:val="center"/>
            <w:hideMark/>
          </w:tcPr>
          <w:p w:rsidR="00717C9C"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717C9C" w:rsidRPr="00B125BA">
              <w:rPr>
                <w:rFonts w:asciiTheme="minorEastAsia" w:eastAsiaTheme="minorEastAsia" w:hAnsiTheme="minorEastAsia" w:cs="宋体" w:hint="eastAsia"/>
                <w:kern w:val="0"/>
                <w:sz w:val="15"/>
                <w:szCs w:val="15"/>
              </w:rPr>
              <w:t xml:space="preserve">207,349.66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207,349.66 </w:t>
            </w:r>
          </w:p>
        </w:tc>
        <w:tc>
          <w:tcPr>
            <w:tcW w:w="1418" w:type="dxa"/>
            <w:tcBorders>
              <w:top w:val="nil"/>
              <w:left w:val="nil"/>
              <w:bottom w:val="single" w:sz="4" w:space="0" w:color="auto"/>
              <w:right w:val="single" w:sz="4" w:space="0" w:color="auto"/>
            </w:tcBorders>
            <w:shd w:val="clear" w:color="auto" w:fill="auto"/>
            <w:noWrap/>
            <w:vAlign w:val="center"/>
            <w:hideMark/>
          </w:tcPr>
          <w:p w:rsidR="00717C9C" w:rsidRPr="00B125BA" w:rsidRDefault="00717C9C"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单位29</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1,662,485.47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1,662,485.47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51,886.60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377,711.80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996,941.80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235,945.27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val="restart"/>
            <w:tcBorders>
              <w:top w:val="nil"/>
              <w:left w:val="nil"/>
              <w:right w:val="single" w:sz="4" w:space="0" w:color="auto"/>
            </w:tcBorders>
            <w:shd w:val="clear" w:color="auto" w:fill="auto"/>
            <w:noWrap/>
            <w:vAlign w:val="center"/>
            <w:hideMark/>
          </w:tcPr>
          <w:p w:rsidR="006F0D0A" w:rsidRPr="00B125BA" w:rsidRDefault="006F0D0A" w:rsidP="00BE4388">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按照账龄分析计提不足以弥补回收风险</w:t>
            </w: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单位30</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1,591,306.32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1,591,306.32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219,296.64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1,372,009.68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单位31</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1,252,597.15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1,252,597.15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1,252,597.15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单位32</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993,661.53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993,661.53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974,515.45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19,146.08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单位33</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870,700.00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870,700.00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232,500.00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523,600.00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114,600.00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单位34</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795,230.21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795,230.21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47,598.30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747,631.91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单位35</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720,620.83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720,620.83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418,313.20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302,307.63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单位36</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711,939.93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711,939.93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538,448.98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173,490.95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单位37</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617,154.56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617,154.56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175,492.02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441,662.54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单位38</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556,633.25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556,633.25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23,036.45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533,596.80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单位39</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523,690.45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523,690.45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277,500.30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246,190.15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单位40</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486,199.20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486,199.20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3,688.24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153,340.77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329,170.19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单位41</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472,999.71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472,999.71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1,704.30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471,295.41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单位42</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392,605.41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392,605.41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101,700.00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290,905.41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单位43</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365,698.50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365,698.50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365,698.50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单位44</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345,538.00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345,538.00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22,685.50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100,217.65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51,776.90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170,857.95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单位45</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240,085.00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240,085.00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240,085.00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单位46</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1,010,116.41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1,010,116.41 </w:t>
            </w:r>
          </w:p>
        </w:tc>
        <w:tc>
          <w:tcPr>
            <w:tcW w:w="1275" w:type="dxa"/>
            <w:tcBorders>
              <w:top w:val="nil"/>
              <w:left w:val="nil"/>
              <w:bottom w:val="single" w:sz="4" w:space="0" w:color="auto"/>
              <w:right w:val="single" w:sz="4" w:space="0" w:color="auto"/>
            </w:tcBorders>
            <w:shd w:val="clear" w:color="auto" w:fill="auto"/>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1,792,262.09 </w:t>
            </w:r>
          </w:p>
        </w:tc>
        <w:tc>
          <w:tcPr>
            <w:tcW w:w="1276" w:type="dxa"/>
            <w:tcBorders>
              <w:top w:val="nil"/>
              <w:left w:val="nil"/>
              <w:bottom w:val="single" w:sz="4" w:space="0" w:color="auto"/>
              <w:right w:val="single" w:sz="4" w:space="0" w:color="auto"/>
            </w:tcBorders>
            <w:shd w:val="clear" w:color="auto" w:fill="auto"/>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1,792,262.09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267,858.16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327,155.00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192,313.01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321,604.46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415,163.23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268,168.23 </w:t>
            </w:r>
          </w:p>
        </w:tc>
        <w:tc>
          <w:tcPr>
            <w:tcW w:w="1418" w:type="dxa"/>
            <w:vMerge/>
            <w:tcBorders>
              <w:left w:val="nil"/>
              <w:right w:val="single" w:sz="4" w:space="0" w:color="auto"/>
            </w:tcBorders>
            <w:shd w:val="clear" w:color="auto" w:fill="auto"/>
            <w:noWrap/>
            <w:vAlign w:val="center"/>
            <w:hideMark/>
          </w:tcPr>
          <w:p w:rsidR="006F0D0A" w:rsidRPr="00B125BA" w:rsidRDefault="006F0D0A" w:rsidP="00DC2E56">
            <w:pPr>
              <w:snapToGrid w:val="0"/>
              <w:spacing w:line="307" w:lineRule="auto"/>
              <w:jc w:val="left"/>
              <w:rPr>
                <w:rFonts w:asciiTheme="minorEastAsia" w:eastAsiaTheme="minorEastAsia" w:hAnsiTheme="minorEastAsia" w:cs="宋体"/>
                <w:kern w:val="0"/>
                <w:sz w:val="15"/>
                <w:szCs w:val="15"/>
              </w:rPr>
            </w:pPr>
          </w:p>
        </w:tc>
      </w:tr>
      <w:tr w:rsidR="006F0D0A" w:rsidRPr="00B125BA" w:rsidTr="00E6435A">
        <w:trPr>
          <w:trHeight w:val="272"/>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合计</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31,271,747.26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29,248,708.26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53,968,932.43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E6435A" w:rsidP="00DC2E56">
            <w:pPr>
              <w:widowControl/>
              <w:snapToGrid w:val="0"/>
              <w:spacing w:line="307" w:lineRule="auto"/>
              <w:jc w:val="righ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r w:rsidR="006F0D0A" w:rsidRPr="00B125BA">
              <w:rPr>
                <w:rFonts w:asciiTheme="minorEastAsia" w:eastAsiaTheme="minorEastAsia" w:hAnsiTheme="minorEastAsia" w:cs="宋体" w:hint="eastAsia"/>
                <w:kern w:val="0"/>
                <w:sz w:val="15"/>
                <w:szCs w:val="15"/>
              </w:rPr>
              <w:t xml:space="preserve">53,968,932.43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4,262,871.45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13,557,380.59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11,113,373.62 </w:t>
            </w:r>
          </w:p>
        </w:tc>
        <w:tc>
          <w:tcPr>
            <w:tcW w:w="1275"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6,720,590.11 </w:t>
            </w:r>
          </w:p>
        </w:tc>
        <w:tc>
          <w:tcPr>
            <w:tcW w:w="1134"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4,087,108.63 </w:t>
            </w:r>
          </w:p>
        </w:tc>
        <w:tc>
          <w:tcPr>
            <w:tcW w:w="1276" w:type="dxa"/>
            <w:tcBorders>
              <w:top w:val="nil"/>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right"/>
              <w:rPr>
                <w:rFonts w:asciiTheme="minorEastAsia" w:eastAsiaTheme="minorEastAsia" w:hAnsiTheme="minorEastAsia" w:cs="宋体"/>
                <w:kern w:val="0"/>
                <w:sz w:val="15"/>
                <w:szCs w:val="15"/>
              </w:rPr>
            </w:pPr>
            <w:r w:rsidRPr="00B125BA">
              <w:rPr>
                <w:rFonts w:asciiTheme="minorEastAsia" w:eastAsiaTheme="minorEastAsia" w:hAnsiTheme="minorEastAsia" w:cs="宋体" w:hint="eastAsia"/>
                <w:kern w:val="0"/>
                <w:sz w:val="15"/>
                <w:szCs w:val="15"/>
              </w:rPr>
              <w:t xml:space="preserve"> 14,227,608.03 </w:t>
            </w:r>
          </w:p>
        </w:tc>
        <w:tc>
          <w:tcPr>
            <w:tcW w:w="1418" w:type="dxa"/>
            <w:vMerge/>
            <w:tcBorders>
              <w:left w:val="nil"/>
              <w:bottom w:val="single" w:sz="4" w:space="0" w:color="auto"/>
              <w:right w:val="single" w:sz="4" w:space="0" w:color="auto"/>
            </w:tcBorders>
            <w:shd w:val="clear" w:color="auto" w:fill="auto"/>
            <w:noWrap/>
            <w:vAlign w:val="center"/>
            <w:hideMark/>
          </w:tcPr>
          <w:p w:rsidR="006F0D0A" w:rsidRPr="00B125BA" w:rsidRDefault="006F0D0A" w:rsidP="00DC2E56">
            <w:pPr>
              <w:widowControl/>
              <w:snapToGrid w:val="0"/>
              <w:spacing w:line="307" w:lineRule="auto"/>
              <w:jc w:val="left"/>
              <w:rPr>
                <w:rFonts w:asciiTheme="minorEastAsia" w:eastAsiaTheme="minorEastAsia" w:hAnsiTheme="minorEastAsia" w:cs="宋体"/>
                <w:kern w:val="0"/>
                <w:sz w:val="15"/>
                <w:szCs w:val="15"/>
              </w:rPr>
            </w:pPr>
          </w:p>
        </w:tc>
      </w:tr>
    </w:tbl>
    <w:p w:rsidR="00B125BA" w:rsidRDefault="00B125BA" w:rsidP="00717C9C">
      <w:pPr>
        <w:pStyle w:val="Default"/>
        <w:snapToGrid w:val="0"/>
        <w:spacing w:line="300" w:lineRule="auto"/>
        <w:rPr>
          <w:rFonts w:asciiTheme="minorEastAsia" w:hAnsiTheme="minorEastAsia" w:cs="Times New Roman"/>
          <w:b/>
        </w:rPr>
        <w:sectPr w:rsidR="00B125BA" w:rsidSect="00B125BA">
          <w:pgSz w:w="16838" w:h="11906" w:orient="landscape"/>
          <w:pgMar w:top="1800" w:right="1440" w:bottom="1800" w:left="1440" w:header="851" w:footer="992" w:gutter="0"/>
          <w:cols w:space="425"/>
          <w:docGrid w:type="lines" w:linePitch="312"/>
        </w:sectPr>
      </w:pPr>
    </w:p>
    <w:p w:rsidR="00C233F2" w:rsidRPr="009315D6" w:rsidRDefault="00C233F2" w:rsidP="00F03290">
      <w:pPr>
        <w:pStyle w:val="a9"/>
        <w:snapToGrid w:val="0"/>
        <w:spacing w:line="348" w:lineRule="auto"/>
        <w:ind w:firstLine="480"/>
        <w:rPr>
          <w:rFonts w:asciiTheme="minorEastAsia" w:hAnsiTheme="minorEastAsia" w:cs="Times New Roman"/>
          <w:sz w:val="24"/>
          <w:szCs w:val="24"/>
        </w:rPr>
      </w:pPr>
      <w:r w:rsidRPr="009315D6">
        <w:rPr>
          <w:rFonts w:asciiTheme="minorEastAsia" w:hAnsiTheme="minorEastAsia" w:cs="Times New Roman" w:hint="eastAsia"/>
          <w:sz w:val="24"/>
          <w:szCs w:val="24"/>
        </w:rPr>
        <w:lastRenderedPageBreak/>
        <w:t>由上表可知：2016年</w:t>
      </w:r>
      <w:proofErr w:type="gramStart"/>
      <w:r w:rsidRPr="009315D6">
        <w:rPr>
          <w:rFonts w:asciiTheme="minorEastAsia" w:hAnsiTheme="minorEastAsia" w:cs="Times New Roman" w:hint="eastAsia"/>
          <w:sz w:val="24"/>
          <w:szCs w:val="24"/>
        </w:rPr>
        <w:t>期末对</w:t>
      </w:r>
      <w:proofErr w:type="gramEnd"/>
      <w:r w:rsidRPr="009315D6">
        <w:rPr>
          <w:rFonts w:asciiTheme="minorEastAsia" w:hAnsiTheme="minorEastAsia" w:cs="Times New Roman" w:hint="eastAsia"/>
          <w:sz w:val="24"/>
          <w:szCs w:val="24"/>
        </w:rPr>
        <w:t>合计</w:t>
      </w:r>
      <w:r w:rsidRPr="009315D6">
        <w:rPr>
          <w:rFonts w:asciiTheme="minorEastAsia" w:hAnsiTheme="minorEastAsia" w:cs="Times New Roman"/>
          <w:sz w:val="24"/>
          <w:szCs w:val="24"/>
        </w:rPr>
        <w:t>5,396</w:t>
      </w:r>
      <w:r w:rsidRPr="009315D6">
        <w:rPr>
          <w:rFonts w:asciiTheme="minorEastAsia" w:hAnsiTheme="minorEastAsia" w:cs="Times New Roman" w:hint="eastAsia"/>
          <w:sz w:val="24"/>
          <w:szCs w:val="24"/>
        </w:rPr>
        <w:t>.</w:t>
      </w:r>
      <w:r w:rsidRPr="009315D6">
        <w:rPr>
          <w:rFonts w:asciiTheme="minorEastAsia" w:hAnsiTheme="minorEastAsia" w:cs="Times New Roman"/>
          <w:sz w:val="24"/>
          <w:szCs w:val="24"/>
        </w:rPr>
        <w:t>89</w:t>
      </w:r>
      <w:r w:rsidR="000E29A8">
        <w:rPr>
          <w:rFonts w:asciiTheme="minorEastAsia" w:hAnsiTheme="minorEastAsia" w:cs="Times New Roman" w:hint="eastAsia"/>
          <w:sz w:val="24"/>
          <w:szCs w:val="24"/>
        </w:rPr>
        <w:t>万</w:t>
      </w:r>
      <w:r w:rsidRPr="009315D6">
        <w:rPr>
          <w:rFonts w:asciiTheme="minorEastAsia" w:hAnsiTheme="minorEastAsia" w:cs="Times New Roman" w:hint="eastAsia"/>
          <w:sz w:val="24"/>
          <w:szCs w:val="24"/>
        </w:rPr>
        <w:t>元应收账款共单项计提坏账准备</w:t>
      </w:r>
      <w:r w:rsidRPr="009315D6">
        <w:rPr>
          <w:rFonts w:asciiTheme="minorEastAsia" w:hAnsiTheme="minorEastAsia" w:cs="Times New Roman"/>
          <w:sz w:val="24"/>
          <w:szCs w:val="24"/>
        </w:rPr>
        <w:t>5,396</w:t>
      </w:r>
      <w:r w:rsidRPr="009315D6">
        <w:rPr>
          <w:rFonts w:asciiTheme="minorEastAsia" w:hAnsiTheme="minorEastAsia" w:cs="Times New Roman" w:hint="eastAsia"/>
          <w:sz w:val="24"/>
          <w:szCs w:val="24"/>
        </w:rPr>
        <w:t>.</w:t>
      </w:r>
      <w:r w:rsidRPr="009315D6">
        <w:rPr>
          <w:rFonts w:asciiTheme="minorEastAsia" w:hAnsiTheme="minorEastAsia" w:cs="Times New Roman"/>
          <w:sz w:val="24"/>
          <w:szCs w:val="24"/>
        </w:rPr>
        <w:t>89</w:t>
      </w:r>
      <w:r w:rsidR="000E29A8">
        <w:rPr>
          <w:rFonts w:asciiTheme="minorEastAsia" w:hAnsiTheme="minorEastAsia" w:cs="Times New Roman" w:hint="eastAsia"/>
          <w:sz w:val="24"/>
          <w:szCs w:val="24"/>
        </w:rPr>
        <w:t>万</w:t>
      </w:r>
      <w:r w:rsidRPr="009315D6">
        <w:rPr>
          <w:rFonts w:asciiTheme="minorEastAsia" w:hAnsiTheme="minorEastAsia" w:cs="Times New Roman" w:hint="eastAsia"/>
          <w:sz w:val="24"/>
          <w:szCs w:val="24"/>
        </w:rPr>
        <w:t>元，其中属于期初单项计提的应收账款坏账</w:t>
      </w:r>
      <w:proofErr w:type="gramStart"/>
      <w:r w:rsidRPr="009315D6">
        <w:rPr>
          <w:rFonts w:asciiTheme="minorEastAsia" w:hAnsiTheme="minorEastAsia" w:cs="Times New Roman" w:hint="eastAsia"/>
          <w:sz w:val="24"/>
          <w:szCs w:val="24"/>
        </w:rPr>
        <w:t>准备余额</w:t>
      </w:r>
      <w:proofErr w:type="gramEnd"/>
      <w:r w:rsidRPr="009315D6">
        <w:rPr>
          <w:rFonts w:asciiTheme="minorEastAsia" w:hAnsiTheme="minorEastAsia" w:cs="Times New Roman" w:hint="eastAsia"/>
          <w:sz w:val="24"/>
          <w:szCs w:val="24"/>
        </w:rPr>
        <w:t>为</w:t>
      </w:r>
      <w:r w:rsidRPr="009315D6">
        <w:rPr>
          <w:rFonts w:asciiTheme="minorEastAsia" w:hAnsiTheme="minorEastAsia" w:cs="Times New Roman"/>
          <w:sz w:val="24"/>
          <w:szCs w:val="24"/>
        </w:rPr>
        <w:t>2,924</w:t>
      </w:r>
      <w:r w:rsidRPr="009315D6">
        <w:rPr>
          <w:rFonts w:asciiTheme="minorEastAsia" w:hAnsiTheme="minorEastAsia" w:cs="Times New Roman" w:hint="eastAsia"/>
          <w:sz w:val="24"/>
          <w:szCs w:val="24"/>
        </w:rPr>
        <w:t>.</w:t>
      </w:r>
      <w:r w:rsidRPr="009315D6">
        <w:rPr>
          <w:rFonts w:asciiTheme="minorEastAsia" w:hAnsiTheme="minorEastAsia" w:cs="Times New Roman"/>
          <w:sz w:val="24"/>
          <w:szCs w:val="24"/>
        </w:rPr>
        <w:t>87</w:t>
      </w:r>
      <w:r w:rsidR="000E29A8">
        <w:rPr>
          <w:rFonts w:asciiTheme="minorEastAsia" w:hAnsiTheme="minorEastAsia" w:cs="Times New Roman" w:hint="eastAsia"/>
          <w:sz w:val="24"/>
          <w:szCs w:val="24"/>
        </w:rPr>
        <w:t>万</w:t>
      </w:r>
      <w:r w:rsidRPr="009315D6">
        <w:rPr>
          <w:rFonts w:asciiTheme="minorEastAsia" w:hAnsiTheme="minorEastAsia" w:cs="Times New Roman" w:hint="eastAsia"/>
          <w:sz w:val="24"/>
          <w:szCs w:val="24"/>
        </w:rPr>
        <w:t>元，本年新增单项全额计提坏账准备的应收账款合计</w:t>
      </w:r>
      <w:r w:rsidRPr="009315D6">
        <w:rPr>
          <w:rFonts w:asciiTheme="minorEastAsia" w:hAnsiTheme="minorEastAsia" w:cs="Times New Roman"/>
          <w:sz w:val="24"/>
          <w:szCs w:val="24"/>
        </w:rPr>
        <w:t>2,472.02</w:t>
      </w:r>
      <w:r w:rsidR="000E29A8">
        <w:rPr>
          <w:rFonts w:asciiTheme="minorEastAsia" w:hAnsiTheme="minorEastAsia" w:cs="Times New Roman" w:hint="eastAsia"/>
          <w:sz w:val="24"/>
          <w:szCs w:val="24"/>
        </w:rPr>
        <w:t>万</w:t>
      </w:r>
      <w:r w:rsidR="00CE21FC">
        <w:rPr>
          <w:rFonts w:asciiTheme="minorEastAsia" w:hAnsiTheme="minorEastAsia" w:cs="Times New Roman" w:hint="eastAsia"/>
          <w:sz w:val="24"/>
          <w:szCs w:val="24"/>
        </w:rPr>
        <w:t>元。本期单项计提的应收账款坏账准备新增的主要原因是</w:t>
      </w:r>
      <w:r w:rsidRPr="009315D6">
        <w:rPr>
          <w:rFonts w:asciiTheme="minorEastAsia" w:hAnsiTheme="minorEastAsia" w:cs="Times New Roman" w:hint="eastAsia"/>
          <w:sz w:val="24"/>
          <w:szCs w:val="24"/>
        </w:rPr>
        <w:t>制造业市场低迷，下游行业整体不景气，特别是中小企业更是经营困难，举步维艰。在这种经营环境下，2016年公司加强对应账款的管理并对应收账款进行了梳理，对经营困难、欠款大的客户提起诉讼和加大追款力度，对欠款相对较少、持续经营困难的客户必要时通过法律程序追缴货款。从谨慎性原则考虑，2016年对这部分应收账款单独认定并计提了坏账准备。</w:t>
      </w:r>
    </w:p>
    <w:p w:rsidR="009315D6" w:rsidRDefault="00C233F2" w:rsidP="00F03290">
      <w:pPr>
        <w:pStyle w:val="a9"/>
        <w:snapToGrid w:val="0"/>
        <w:spacing w:line="348" w:lineRule="auto"/>
        <w:ind w:firstLine="480"/>
        <w:rPr>
          <w:rFonts w:ascii="Times New Roman" w:hAnsi="Times New Roman" w:cs="Times New Roman"/>
          <w:sz w:val="24"/>
          <w:szCs w:val="24"/>
        </w:rPr>
      </w:pPr>
      <w:r>
        <w:rPr>
          <w:rFonts w:ascii="Times New Roman" w:hAnsi="Times New Roman" w:cs="Times New Roman" w:hint="eastAsia"/>
          <w:sz w:val="24"/>
          <w:szCs w:val="24"/>
        </w:rPr>
        <w:t>本年新增的单项计提的应收账款及坏账准备情况如下：</w:t>
      </w:r>
    </w:p>
    <w:p w:rsidR="000E29A8" w:rsidRPr="000E29A8" w:rsidRDefault="000E29A8" w:rsidP="00F03290">
      <w:pPr>
        <w:pStyle w:val="a9"/>
        <w:snapToGrid w:val="0"/>
        <w:spacing w:line="348" w:lineRule="auto"/>
        <w:ind w:firstLine="480"/>
        <w:rPr>
          <w:sz w:val="24"/>
          <w:szCs w:val="24"/>
        </w:rPr>
      </w:pPr>
      <w:r>
        <w:rPr>
          <w:rFonts w:hint="eastAsia"/>
          <w:sz w:val="24"/>
          <w:szCs w:val="24"/>
        </w:rPr>
        <w:t xml:space="preserve">                                                     </w:t>
      </w:r>
      <w:r>
        <w:rPr>
          <w:rFonts w:hint="eastAsia"/>
          <w:sz w:val="24"/>
          <w:szCs w:val="24"/>
        </w:rPr>
        <w:t>单位：元</w:t>
      </w:r>
    </w:p>
    <w:tbl>
      <w:tblPr>
        <w:tblW w:w="8510" w:type="dxa"/>
        <w:tblInd w:w="103" w:type="dxa"/>
        <w:tblLayout w:type="fixed"/>
        <w:tblLook w:val="04A0"/>
      </w:tblPr>
      <w:tblGrid>
        <w:gridCol w:w="998"/>
        <w:gridCol w:w="1417"/>
        <w:gridCol w:w="1418"/>
        <w:gridCol w:w="4677"/>
      </w:tblGrid>
      <w:tr w:rsidR="009315D6" w:rsidRPr="009315D6" w:rsidTr="009315D6">
        <w:trPr>
          <w:trHeight w:val="36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客户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center"/>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期末应收账款余额</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center"/>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期末坏账准备余额</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center"/>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单项计提坏账准备的原因</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3,651,725.02</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3,651,725.02</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因合同纠纷，2016年已诉讼对方，预期收回困难</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单位5</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3,401,498.05</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3,401,498.05</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该客户经营困难，与其之间的债权2016年已经进入诉讼阶段，并且本公司已经胜诉，但由于对方单位无财产可供执行，导致款项无法收回。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单位6</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2,569,394.70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2,569,394.70</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客户经营困难，其涉及多项诉讼，多个银行账户被冻结，预期债权收回的可能性较小。</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单位7</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2,039,202.33</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2,039,202.33</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客户经营困难，资金链断裂，预计债权收回的可能性较小。</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单位29</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1,662,485.47</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1,662,485.47</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该客户经营困难，预计无法收回，准备诉讼</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单位30</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1,591,306.32</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1,591,306.32</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产品质量存在争议，预计无法收回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单位31</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1,252,597.15</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1,252,597.15</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该客户经营困难，与其之间的债权2016年已经进入诉讼阶段，并且本公司已经胜诉，但由于对方单位无财产可供执行，导致款项无法收回。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单位32</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993,661.53</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993,661.53</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单位33</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870,700.00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870,700.00</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单位34</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795,230.21</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795,230.21</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单位35</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720,620.83</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720,620.83</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单位36</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711,939.93</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711,939.93</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产品质量存在争议，预计无法收回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单位37</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617,154.56</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617,154.56</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单位38</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556,633.25</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556,633.25</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该客户经营困难，已停产，预计无法收回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单位39</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523,690.45</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523,690.45</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单位40</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486,199.20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486,199.20</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单位41</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472,999.71</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472,999.71</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该客户经营困难，已停产，资金链断裂，预计无法收回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单位42</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392,605.41</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392,605.41</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lastRenderedPageBreak/>
              <w:t>单位43</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365,698.50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365,698.50</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该客户已破产，预计无法收回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单位44</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345,538.00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345,538.00</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单位45</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240,085.00</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240,085.00</w:t>
            </w:r>
          </w:p>
        </w:tc>
        <w:tc>
          <w:tcPr>
            <w:tcW w:w="4677" w:type="dxa"/>
            <w:tcBorders>
              <w:top w:val="nil"/>
              <w:left w:val="nil"/>
              <w:bottom w:val="single" w:sz="4" w:space="0" w:color="auto"/>
              <w:right w:val="single" w:sz="4" w:space="0" w:color="auto"/>
            </w:tcBorders>
            <w:shd w:val="clear" w:color="auto" w:fill="auto"/>
            <w:hideMark/>
          </w:tcPr>
          <w:p w:rsidR="00C233F2" w:rsidRPr="009315D6" w:rsidRDefault="00C233F2" w:rsidP="009A0CC9">
            <w:pPr>
              <w:widowControl/>
              <w:snapToGrid w:val="0"/>
              <w:spacing w:line="348" w:lineRule="auto"/>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该客户经营困难，预计无法收回</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 xml:space="preserve">　</w:t>
            </w:r>
            <w:r w:rsidRPr="009315D6">
              <w:rPr>
                <w:rFonts w:asciiTheme="minorEastAsia" w:eastAsiaTheme="minorEastAsia" w:hAnsiTheme="minorEastAsia" w:hint="eastAsia"/>
                <w:color w:val="000000"/>
                <w:kern w:val="0"/>
                <w:sz w:val="18"/>
                <w:szCs w:val="18"/>
              </w:rPr>
              <w:t>其他</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459,258.55</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459,258.55</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center"/>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w:t>
            </w:r>
          </w:p>
        </w:tc>
      </w:tr>
      <w:tr w:rsidR="009315D6" w:rsidRPr="009315D6" w:rsidTr="009315D6">
        <w:trPr>
          <w:trHeight w:val="36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C233F2" w:rsidRPr="009315D6" w:rsidRDefault="00C233F2" w:rsidP="009A0CC9">
            <w:pPr>
              <w:widowControl/>
              <w:snapToGrid w:val="0"/>
              <w:spacing w:line="348" w:lineRule="auto"/>
              <w:jc w:val="lef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合计</w:t>
            </w:r>
          </w:p>
        </w:tc>
        <w:tc>
          <w:tcPr>
            <w:tcW w:w="141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24,720,224.17</w:t>
            </w:r>
          </w:p>
        </w:tc>
        <w:tc>
          <w:tcPr>
            <w:tcW w:w="1418"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right"/>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24,720,224.17</w:t>
            </w:r>
          </w:p>
        </w:tc>
        <w:tc>
          <w:tcPr>
            <w:tcW w:w="4677" w:type="dxa"/>
            <w:tcBorders>
              <w:top w:val="nil"/>
              <w:left w:val="nil"/>
              <w:bottom w:val="single" w:sz="4" w:space="0" w:color="auto"/>
              <w:right w:val="single" w:sz="4" w:space="0" w:color="auto"/>
            </w:tcBorders>
            <w:shd w:val="clear" w:color="auto" w:fill="auto"/>
            <w:vAlign w:val="center"/>
            <w:hideMark/>
          </w:tcPr>
          <w:p w:rsidR="00C233F2" w:rsidRPr="009315D6" w:rsidRDefault="00C233F2" w:rsidP="009A0CC9">
            <w:pPr>
              <w:widowControl/>
              <w:snapToGrid w:val="0"/>
              <w:spacing w:line="348" w:lineRule="auto"/>
              <w:jc w:val="center"/>
              <w:rPr>
                <w:rFonts w:asciiTheme="minorEastAsia" w:eastAsiaTheme="minorEastAsia" w:hAnsiTheme="minorEastAsia"/>
                <w:color w:val="000000"/>
                <w:kern w:val="0"/>
                <w:sz w:val="18"/>
                <w:szCs w:val="18"/>
              </w:rPr>
            </w:pPr>
            <w:r w:rsidRPr="009315D6">
              <w:rPr>
                <w:rFonts w:asciiTheme="minorEastAsia" w:eastAsiaTheme="minorEastAsia" w:hAnsiTheme="minorEastAsia"/>
                <w:color w:val="000000"/>
                <w:kern w:val="0"/>
                <w:sz w:val="18"/>
                <w:szCs w:val="18"/>
              </w:rPr>
              <w:t>——</w:t>
            </w:r>
          </w:p>
        </w:tc>
      </w:tr>
    </w:tbl>
    <w:p w:rsidR="00C233F2" w:rsidRDefault="00C233F2" w:rsidP="009A0CC9">
      <w:pPr>
        <w:pStyle w:val="Default"/>
        <w:snapToGrid w:val="0"/>
        <w:spacing w:line="348" w:lineRule="auto"/>
        <w:rPr>
          <w:rFonts w:asciiTheme="minorEastAsia" w:eastAsiaTheme="minorEastAsia" w:hAnsiTheme="minorEastAsia" w:cs="Times New Roman"/>
          <w:b/>
        </w:rPr>
      </w:pPr>
    </w:p>
    <w:p w:rsidR="009F7F50" w:rsidRDefault="009F7F50" w:rsidP="009A0CC9">
      <w:pPr>
        <w:pStyle w:val="Default"/>
        <w:snapToGrid w:val="0"/>
        <w:spacing w:line="348" w:lineRule="auto"/>
        <w:rPr>
          <w:rFonts w:asciiTheme="minorEastAsia" w:eastAsiaTheme="minorEastAsia" w:hAnsiTheme="minorEastAsia" w:cs="Times New Roman"/>
          <w:b/>
        </w:rPr>
      </w:pPr>
      <w:r w:rsidRPr="006C287D">
        <w:rPr>
          <w:rFonts w:asciiTheme="minorEastAsia" w:eastAsiaTheme="minorEastAsia" w:hAnsiTheme="minorEastAsia" w:cs="Times New Roman" w:hint="eastAsia"/>
          <w:b/>
        </w:rPr>
        <w:t>答复：（二）</w:t>
      </w:r>
      <w:r w:rsidRPr="006C287D">
        <w:rPr>
          <w:rFonts w:asciiTheme="minorEastAsia" w:eastAsiaTheme="minorEastAsia" w:hAnsiTheme="minorEastAsia" w:cs="Times New Roman"/>
          <w:b/>
        </w:rPr>
        <w:t>公司对机器设备类计提减值准备3,957.47万元，现结合该机器设备的产出效率等因素补充披露以前年度的计提情况、本年度大额计提的原因及其合理性如下：</w:t>
      </w:r>
    </w:p>
    <w:p w:rsidR="008F7A1D" w:rsidRPr="008F7A1D" w:rsidRDefault="008F7A1D" w:rsidP="009A0CC9">
      <w:pPr>
        <w:pStyle w:val="Default"/>
        <w:snapToGrid w:val="0"/>
        <w:spacing w:line="348" w:lineRule="auto"/>
        <w:rPr>
          <w:rFonts w:asciiTheme="minorEastAsia" w:eastAsiaTheme="minorEastAsia" w:hAnsiTheme="minorEastAsia" w:cs="Times New Roman"/>
        </w:rPr>
      </w:pPr>
      <w:r>
        <w:rPr>
          <w:rFonts w:asciiTheme="minorEastAsia" w:eastAsiaTheme="minorEastAsia" w:hAnsiTheme="minorEastAsia" w:cs="Times New Roman" w:hint="eastAsia"/>
          <w:b/>
        </w:rPr>
        <w:t xml:space="preserve">                                                        </w:t>
      </w:r>
      <w:r w:rsidRPr="008F7A1D">
        <w:rPr>
          <w:rFonts w:asciiTheme="minorEastAsia" w:eastAsiaTheme="minorEastAsia" w:hAnsiTheme="minorEastAsia" w:cs="Times New Roman" w:hint="eastAsia"/>
        </w:rPr>
        <w:t xml:space="preserve"> 单位：元</w:t>
      </w:r>
    </w:p>
    <w:tbl>
      <w:tblPr>
        <w:tblStyle w:val="aa"/>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705"/>
        <w:gridCol w:w="1414"/>
        <w:gridCol w:w="1558"/>
        <w:gridCol w:w="1600"/>
        <w:gridCol w:w="1235"/>
      </w:tblGrid>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jc w:val="center"/>
              <w:rPr>
                <w:rFonts w:asciiTheme="minorEastAsia" w:hAnsiTheme="minorEastAsia" w:cs="Times New Roman"/>
                <w:sz w:val="18"/>
                <w:szCs w:val="18"/>
              </w:rPr>
            </w:pPr>
            <w:r w:rsidRPr="009F7F50">
              <w:rPr>
                <w:rFonts w:asciiTheme="minorEastAsia" w:hAnsiTheme="minorEastAsia" w:cs="Times New Roman"/>
                <w:sz w:val="18"/>
                <w:szCs w:val="18"/>
              </w:rPr>
              <w:t>机器设备类别</w:t>
            </w:r>
          </w:p>
        </w:tc>
        <w:tc>
          <w:tcPr>
            <w:tcW w:w="94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以前年度计提</w:t>
            </w:r>
            <w:r w:rsidRPr="009F7F50">
              <w:rPr>
                <w:rFonts w:asciiTheme="minorEastAsia" w:eastAsiaTheme="minorEastAsia" w:hAnsiTheme="minorEastAsia"/>
                <w:sz w:val="18"/>
                <w:szCs w:val="18"/>
              </w:rPr>
              <w:t>减值准备</w:t>
            </w:r>
            <w:r w:rsidRPr="009F7F50">
              <w:rPr>
                <w:rFonts w:asciiTheme="minorEastAsia" w:eastAsiaTheme="minorEastAsia" w:hAnsiTheme="minorEastAsia" w:hint="eastAsia"/>
                <w:sz w:val="18"/>
                <w:szCs w:val="18"/>
              </w:rPr>
              <w:t>余额</w:t>
            </w:r>
          </w:p>
        </w:tc>
        <w:tc>
          <w:tcPr>
            <w:tcW w:w="782"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本期计提减值金额</w:t>
            </w:r>
          </w:p>
        </w:tc>
        <w:tc>
          <w:tcPr>
            <w:tcW w:w="862"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本期减少减值金额</w:t>
            </w:r>
          </w:p>
        </w:tc>
        <w:tc>
          <w:tcPr>
            <w:tcW w:w="885"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期末减值准备</w:t>
            </w:r>
            <w:r w:rsidRPr="009F7F50">
              <w:rPr>
                <w:rFonts w:asciiTheme="minorEastAsia" w:eastAsiaTheme="minorEastAsia" w:hAnsiTheme="minorEastAsia" w:hint="eastAsia"/>
                <w:sz w:val="18"/>
                <w:szCs w:val="18"/>
              </w:rPr>
              <w:t>余额</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备注</w:t>
            </w:r>
          </w:p>
        </w:tc>
      </w:tr>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rPr>
                <w:rFonts w:asciiTheme="minorEastAsia" w:hAnsiTheme="minorEastAsia" w:cs="Times New Roman"/>
                <w:sz w:val="18"/>
                <w:szCs w:val="18"/>
              </w:rPr>
            </w:pPr>
            <w:r w:rsidRPr="009F7F50">
              <w:rPr>
                <w:rFonts w:asciiTheme="minorEastAsia" w:hAnsiTheme="minorEastAsia" w:cs="Times New Roman"/>
                <w:sz w:val="18"/>
                <w:szCs w:val="18"/>
              </w:rPr>
              <w:t>蓝宝石生产设备</w:t>
            </w:r>
          </w:p>
        </w:tc>
        <w:tc>
          <w:tcPr>
            <w:tcW w:w="943"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w:t>
            </w:r>
          </w:p>
        </w:tc>
        <w:tc>
          <w:tcPr>
            <w:tcW w:w="78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9,200,938.29</w:t>
            </w:r>
          </w:p>
        </w:tc>
        <w:tc>
          <w:tcPr>
            <w:tcW w:w="86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w:t>
            </w:r>
          </w:p>
        </w:tc>
        <w:tc>
          <w:tcPr>
            <w:tcW w:w="885"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9,200,938.29</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注1</w:t>
            </w:r>
          </w:p>
        </w:tc>
      </w:tr>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rPr>
                <w:rFonts w:asciiTheme="minorEastAsia" w:hAnsiTheme="minorEastAsia" w:cs="Times New Roman"/>
                <w:sz w:val="18"/>
                <w:szCs w:val="18"/>
              </w:rPr>
            </w:pPr>
            <w:r w:rsidRPr="009F7F50">
              <w:rPr>
                <w:rFonts w:asciiTheme="minorEastAsia" w:hAnsiTheme="minorEastAsia" w:cs="Times New Roman"/>
                <w:sz w:val="18"/>
                <w:szCs w:val="18"/>
              </w:rPr>
              <w:t>LED生产设备</w:t>
            </w:r>
          </w:p>
        </w:tc>
        <w:tc>
          <w:tcPr>
            <w:tcW w:w="943"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w:t>
            </w:r>
          </w:p>
        </w:tc>
        <w:tc>
          <w:tcPr>
            <w:tcW w:w="78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25,053,572.57</w:t>
            </w:r>
          </w:p>
        </w:tc>
        <w:tc>
          <w:tcPr>
            <w:tcW w:w="86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w:t>
            </w:r>
          </w:p>
        </w:tc>
        <w:tc>
          <w:tcPr>
            <w:tcW w:w="885"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25,053,572.57</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注2</w:t>
            </w:r>
          </w:p>
        </w:tc>
      </w:tr>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rPr>
                <w:rFonts w:asciiTheme="minorEastAsia" w:hAnsiTheme="minorEastAsia" w:cs="Times New Roman"/>
                <w:sz w:val="18"/>
                <w:szCs w:val="18"/>
              </w:rPr>
            </w:pPr>
            <w:r w:rsidRPr="009F7F50">
              <w:rPr>
                <w:rFonts w:asciiTheme="minorEastAsia" w:hAnsiTheme="minorEastAsia" w:cs="Times New Roman"/>
                <w:sz w:val="18"/>
                <w:szCs w:val="18"/>
              </w:rPr>
              <w:t>镀膜生产设备</w:t>
            </w:r>
          </w:p>
        </w:tc>
        <w:tc>
          <w:tcPr>
            <w:tcW w:w="943"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1,306,848.67</w:t>
            </w:r>
          </w:p>
        </w:tc>
        <w:tc>
          <w:tcPr>
            <w:tcW w:w="78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3,342,216.35</w:t>
            </w:r>
          </w:p>
        </w:tc>
        <w:tc>
          <w:tcPr>
            <w:tcW w:w="86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hint="eastAsia"/>
                <w:sz w:val="18"/>
                <w:szCs w:val="18"/>
              </w:rPr>
              <w:t>-</w:t>
            </w:r>
          </w:p>
        </w:tc>
        <w:tc>
          <w:tcPr>
            <w:tcW w:w="885"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4,649,065.02</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r w:rsidRPr="009F7F50">
              <w:rPr>
                <w:rFonts w:asciiTheme="minorEastAsia" w:eastAsiaTheme="minorEastAsia" w:hAnsiTheme="minorEastAsia"/>
                <w:sz w:val="18"/>
                <w:szCs w:val="18"/>
              </w:rPr>
              <w:t>注3</w:t>
            </w:r>
          </w:p>
        </w:tc>
      </w:tr>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rPr>
                <w:rFonts w:asciiTheme="minorEastAsia" w:hAnsiTheme="minorEastAsia" w:cs="Times New Roman"/>
                <w:sz w:val="18"/>
                <w:szCs w:val="18"/>
              </w:rPr>
            </w:pPr>
            <w:r w:rsidRPr="009F7F50">
              <w:rPr>
                <w:rFonts w:asciiTheme="minorEastAsia" w:hAnsiTheme="minorEastAsia" w:cs="Times New Roman"/>
                <w:sz w:val="18"/>
                <w:szCs w:val="18"/>
              </w:rPr>
              <w:t>其他设备</w:t>
            </w:r>
          </w:p>
        </w:tc>
        <w:tc>
          <w:tcPr>
            <w:tcW w:w="943"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3,717,643.77</w:t>
            </w:r>
          </w:p>
        </w:tc>
        <w:tc>
          <w:tcPr>
            <w:tcW w:w="78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1,977,966.73</w:t>
            </w:r>
          </w:p>
        </w:tc>
        <w:tc>
          <w:tcPr>
            <w:tcW w:w="86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14,032.81</w:t>
            </w:r>
          </w:p>
        </w:tc>
        <w:tc>
          <w:tcPr>
            <w:tcW w:w="885"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5,681,577.69</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p>
        </w:tc>
      </w:tr>
      <w:tr w:rsidR="009F7F50" w:rsidRPr="009F7F50" w:rsidTr="00D55175">
        <w:trPr>
          <w:trHeight w:val="397"/>
        </w:trPr>
        <w:tc>
          <w:tcPr>
            <w:tcW w:w="844" w:type="pct"/>
            <w:vAlign w:val="center"/>
          </w:tcPr>
          <w:p w:rsidR="009F7F50" w:rsidRPr="009F7F50" w:rsidRDefault="009F7F50" w:rsidP="009A0CC9">
            <w:pPr>
              <w:pStyle w:val="a9"/>
              <w:snapToGrid w:val="0"/>
              <w:spacing w:line="348" w:lineRule="auto"/>
              <w:ind w:firstLineChars="0" w:firstLine="0"/>
              <w:rPr>
                <w:rFonts w:asciiTheme="minorEastAsia" w:hAnsiTheme="minorEastAsia" w:cs="Times New Roman"/>
                <w:sz w:val="18"/>
                <w:szCs w:val="18"/>
              </w:rPr>
            </w:pPr>
            <w:r w:rsidRPr="009F7F50">
              <w:rPr>
                <w:rFonts w:asciiTheme="minorEastAsia" w:hAnsiTheme="minorEastAsia" w:cs="Times New Roman"/>
                <w:sz w:val="18"/>
                <w:szCs w:val="18"/>
              </w:rPr>
              <w:t>小计</w:t>
            </w:r>
          </w:p>
        </w:tc>
        <w:tc>
          <w:tcPr>
            <w:tcW w:w="943"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5,024,492.44</w:t>
            </w:r>
          </w:p>
        </w:tc>
        <w:tc>
          <w:tcPr>
            <w:tcW w:w="78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39,574,693.94</w:t>
            </w:r>
          </w:p>
        </w:tc>
        <w:tc>
          <w:tcPr>
            <w:tcW w:w="862"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14,032.81</w:t>
            </w:r>
          </w:p>
        </w:tc>
        <w:tc>
          <w:tcPr>
            <w:tcW w:w="885" w:type="pct"/>
            <w:vAlign w:val="center"/>
          </w:tcPr>
          <w:p w:rsidR="009F7F50" w:rsidRPr="009F7F50" w:rsidRDefault="009F7F50" w:rsidP="009A0CC9">
            <w:pPr>
              <w:snapToGrid w:val="0"/>
              <w:spacing w:line="348" w:lineRule="auto"/>
              <w:jc w:val="right"/>
              <w:rPr>
                <w:rFonts w:asciiTheme="minorEastAsia" w:eastAsiaTheme="minorEastAsia" w:hAnsiTheme="minorEastAsia"/>
                <w:sz w:val="18"/>
                <w:szCs w:val="18"/>
              </w:rPr>
            </w:pPr>
            <w:r w:rsidRPr="009F7F50">
              <w:rPr>
                <w:rFonts w:asciiTheme="minorEastAsia" w:eastAsiaTheme="minorEastAsia" w:hAnsiTheme="minorEastAsia"/>
                <w:sz w:val="18"/>
                <w:szCs w:val="18"/>
              </w:rPr>
              <w:t>44,585,153.57</w:t>
            </w:r>
          </w:p>
        </w:tc>
        <w:tc>
          <w:tcPr>
            <w:tcW w:w="683" w:type="pct"/>
            <w:vAlign w:val="center"/>
          </w:tcPr>
          <w:p w:rsidR="009F7F50" w:rsidRPr="009F7F50" w:rsidRDefault="009F7F50" w:rsidP="009A0CC9">
            <w:pPr>
              <w:snapToGrid w:val="0"/>
              <w:spacing w:line="348" w:lineRule="auto"/>
              <w:jc w:val="center"/>
              <w:rPr>
                <w:rFonts w:asciiTheme="minorEastAsia" w:eastAsiaTheme="minorEastAsia" w:hAnsiTheme="minorEastAsia"/>
                <w:sz w:val="18"/>
                <w:szCs w:val="18"/>
              </w:rPr>
            </w:pPr>
          </w:p>
        </w:tc>
      </w:tr>
    </w:tbl>
    <w:p w:rsidR="009F7F50" w:rsidRPr="0025124F" w:rsidRDefault="009F7F50" w:rsidP="009A0CC9">
      <w:pPr>
        <w:pStyle w:val="a9"/>
        <w:numPr>
          <w:ilvl w:val="0"/>
          <w:numId w:val="6"/>
        </w:numPr>
        <w:snapToGrid w:val="0"/>
        <w:spacing w:line="348" w:lineRule="auto"/>
        <w:ind w:left="0" w:firstLine="360"/>
        <w:rPr>
          <w:rFonts w:asciiTheme="minorEastAsia" w:hAnsiTheme="minorEastAsia" w:cs="Times New Roman"/>
          <w:sz w:val="18"/>
          <w:szCs w:val="18"/>
        </w:rPr>
      </w:pPr>
      <w:r w:rsidRPr="0025124F">
        <w:rPr>
          <w:rFonts w:asciiTheme="minorEastAsia" w:hAnsiTheme="minorEastAsia" w:cs="Times New Roman" w:hint="eastAsia"/>
          <w:sz w:val="18"/>
          <w:szCs w:val="18"/>
        </w:rPr>
        <w:t>蓝宝石生产设备主要用于生产光学片中的蓝宝石晶片，本公司2013年至2016年光学片销售情况如下：</w:t>
      </w:r>
    </w:p>
    <w:p w:rsidR="008F7A1D" w:rsidRPr="0025124F" w:rsidRDefault="008F7A1D" w:rsidP="009A0CC9">
      <w:pPr>
        <w:pStyle w:val="a9"/>
        <w:snapToGrid w:val="0"/>
        <w:spacing w:line="348" w:lineRule="auto"/>
        <w:ind w:left="420" w:firstLineChars="0" w:firstLine="0"/>
        <w:rPr>
          <w:rFonts w:asciiTheme="minorEastAsia" w:hAnsiTheme="minorEastAsia" w:cs="Times New Roman"/>
          <w:sz w:val="18"/>
          <w:szCs w:val="18"/>
        </w:rPr>
      </w:pPr>
      <w:r w:rsidRPr="0025124F">
        <w:rPr>
          <w:rFonts w:asciiTheme="minorEastAsia" w:hAnsiTheme="minorEastAsia" w:cs="Times New Roman" w:hint="eastAsia"/>
          <w:sz w:val="18"/>
          <w:szCs w:val="18"/>
        </w:rPr>
        <w:t xml:space="preserve">                                                                  </w:t>
      </w:r>
      <w:r w:rsidR="0025124F" w:rsidRPr="0025124F">
        <w:rPr>
          <w:rFonts w:asciiTheme="minorEastAsia" w:hAnsiTheme="minorEastAsia" w:cs="Times New Roman" w:hint="eastAsia"/>
          <w:sz w:val="18"/>
          <w:szCs w:val="18"/>
        </w:rPr>
        <w:t xml:space="preserve">            </w:t>
      </w:r>
      <w:r w:rsidRPr="0025124F">
        <w:rPr>
          <w:rFonts w:asciiTheme="minorEastAsia" w:hAnsiTheme="minorEastAsia" w:cs="Times New Roman" w:hint="eastAsia"/>
          <w:sz w:val="18"/>
          <w:szCs w:val="18"/>
        </w:rPr>
        <w:t xml:space="preserve"> 单位：元</w:t>
      </w:r>
    </w:p>
    <w:tbl>
      <w:tblPr>
        <w:tblStyle w:val="aa"/>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1987"/>
        <w:gridCol w:w="1699"/>
        <w:gridCol w:w="1703"/>
        <w:gridCol w:w="1699"/>
      </w:tblGrid>
      <w:tr w:rsidR="00DF22E1" w:rsidRPr="0025124F" w:rsidTr="00DF22E1">
        <w:trPr>
          <w:trHeight w:val="397"/>
        </w:trPr>
        <w:tc>
          <w:tcPr>
            <w:tcW w:w="1079" w:type="pct"/>
            <w:vAlign w:val="center"/>
          </w:tcPr>
          <w:p w:rsidR="009F7F50" w:rsidRPr="0025124F" w:rsidRDefault="009F7F50" w:rsidP="009A0CC9">
            <w:pPr>
              <w:pStyle w:val="a9"/>
              <w:snapToGrid w:val="0"/>
              <w:spacing w:line="348" w:lineRule="auto"/>
              <w:ind w:firstLineChars="0" w:firstLine="0"/>
              <w:jc w:val="center"/>
              <w:rPr>
                <w:rFonts w:asciiTheme="minorEastAsia" w:hAnsiTheme="minorEastAsia" w:cs="Times New Roman"/>
                <w:sz w:val="18"/>
                <w:szCs w:val="18"/>
              </w:rPr>
            </w:pPr>
            <w:r w:rsidRPr="0025124F">
              <w:rPr>
                <w:rFonts w:asciiTheme="minorEastAsia" w:hAnsiTheme="minorEastAsia" w:cs="Times New Roman" w:hint="eastAsia"/>
                <w:sz w:val="18"/>
                <w:szCs w:val="18"/>
              </w:rPr>
              <w:t>年度</w:t>
            </w:r>
          </w:p>
        </w:tc>
        <w:tc>
          <w:tcPr>
            <w:tcW w:w="1099" w:type="pct"/>
            <w:vAlign w:val="center"/>
          </w:tcPr>
          <w:p w:rsidR="009F7F50" w:rsidRPr="0025124F" w:rsidRDefault="009F7F50" w:rsidP="009A0CC9">
            <w:pPr>
              <w:snapToGrid w:val="0"/>
              <w:spacing w:line="348" w:lineRule="auto"/>
              <w:jc w:val="center"/>
              <w:rPr>
                <w:rFonts w:asciiTheme="minorEastAsia" w:eastAsiaTheme="minorEastAsia" w:hAnsiTheme="minorEastAsia"/>
                <w:sz w:val="18"/>
                <w:szCs w:val="18"/>
              </w:rPr>
            </w:pPr>
            <w:r w:rsidRPr="0025124F">
              <w:rPr>
                <w:rFonts w:asciiTheme="minorEastAsia" w:eastAsiaTheme="minorEastAsia" w:hAnsiTheme="minorEastAsia" w:hint="eastAsia"/>
                <w:sz w:val="18"/>
                <w:szCs w:val="18"/>
              </w:rPr>
              <w:t>2013年度</w:t>
            </w:r>
          </w:p>
        </w:tc>
        <w:tc>
          <w:tcPr>
            <w:tcW w:w="940" w:type="pct"/>
            <w:vAlign w:val="center"/>
          </w:tcPr>
          <w:p w:rsidR="009F7F50" w:rsidRPr="0025124F" w:rsidRDefault="009F7F50" w:rsidP="009A0CC9">
            <w:pPr>
              <w:snapToGrid w:val="0"/>
              <w:spacing w:line="348" w:lineRule="auto"/>
              <w:jc w:val="center"/>
              <w:rPr>
                <w:rFonts w:asciiTheme="minorEastAsia" w:eastAsiaTheme="minorEastAsia" w:hAnsiTheme="minorEastAsia"/>
                <w:sz w:val="18"/>
                <w:szCs w:val="18"/>
              </w:rPr>
            </w:pPr>
            <w:r w:rsidRPr="0025124F">
              <w:rPr>
                <w:rFonts w:asciiTheme="minorEastAsia" w:eastAsiaTheme="minorEastAsia" w:hAnsiTheme="minorEastAsia" w:hint="eastAsia"/>
                <w:sz w:val="18"/>
                <w:szCs w:val="18"/>
              </w:rPr>
              <w:t>2014年度</w:t>
            </w:r>
          </w:p>
        </w:tc>
        <w:tc>
          <w:tcPr>
            <w:tcW w:w="942" w:type="pct"/>
            <w:vAlign w:val="center"/>
          </w:tcPr>
          <w:p w:rsidR="009F7F50" w:rsidRPr="0025124F" w:rsidRDefault="009F7F50" w:rsidP="009A0CC9">
            <w:pPr>
              <w:snapToGrid w:val="0"/>
              <w:spacing w:line="348" w:lineRule="auto"/>
              <w:jc w:val="center"/>
              <w:rPr>
                <w:rFonts w:asciiTheme="minorEastAsia" w:eastAsiaTheme="minorEastAsia" w:hAnsiTheme="minorEastAsia"/>
                <w:sz w:val="18"/>
                <w:szCs w:val="18"/>
              </w:rPr>
            </w:pPr>
            <w:r w:rsidRPr="0025124F">
              <w:rPr>
                <w:rFonts w:asciiTheme="minorEastAsia" w:eastAsiaTheme="minorEastAsia" w:hAnsiTheme="minorEastAsia" w:hint="eastAsia"/>
                <w:sz w:val="18"/>
                <w:szCs w:val="18"/>
              </w:rPr>
              <w:t>2015年度</w:t>
            </w:r>
          </w:p>
        </w:tc>
        <w:tc>
          <w:tcPr>
            <w:tcW w:w="940" w:type="pct"/>
            <w:vAlign w:val="center"/>
          </w:tcPr>
          <w:p w:rsidR="009F7F50" w:rsidRPr="0025124F" w:rsidRDefault="009F7F50" w:rsidP="009A0CC9">
            <w:pPr>
              <w:snapToGrid w:val="0"/>
              <w:spacing w:line="348" w:lineRule="auto"/>
              <w:jc w:val="center"/>
              <w:rPr>
                <w:rFonts w:asciiTheme="minorEastAsia" w:eastAsiaTheme="minorEastAsia" w:hAnsiTheme="minorEastAsia"/>
                <w:sz w:val="18"/>
                <w:szCs w:val="18"/>
              </w:rPr>
            </w:pPr>
            <w:r w:rsidRPr="0025124F">
              <w:rPr>
                <w:rFonts w:asciiTheme="minorEastAsia" w:eastAsiaTheme="minorEastAsia" w:hAnsiTheme="minorEastAsia" w:hint="eastAsia"/>
                <w:sz w:val="18"/>
                <w:szCs w:val="18"/>
              </w:rPr>
              <w:t>2016年度</w:t>
            </w:r>
          </w:p>
        </w:tc>
      </w:tr>
      <w:tr w:rsidR="00DF22E1" w:rsidRPr="0025124F" w:rsidTr="00DF22E1">
        <w:trPr>
          <w:trHeight w:val="397"/>
        </w:trPr>
        <w:tc>
          <w:tcPr>
            <w:tcW w:w="1079" w:type="pct"/>
            <w:vAlign w:val="center"/>
          </w:tcPr>
          <w:p w:rsidR="009F7F50" w:rsidRPr="0025124F" w:rsidRDefault="009F7F50" w:rsidP="009A0CC9">
            <w:pPr>
              <w:pStyle w:val="a9"/>
              <w:snapToGrid w:val="0"/>
              <w:spacing w:line="348" w:lineRule="auto"/>
              <w:ind w:firstLineChars="0" w:firstLine="0"/>
              <w:rPr>
                <w:rFonts w:asciiTheme="minorEastAsia" w:hAnsiTheme="minorEastAsia" w:cs="Times New Roman"/>
                <w:sz w:val="18"/>
                <w:szCs w:val="18"/>
              </w:rPr>
            </w:pPr>
            <w:r w:rsidRPr="0025124F">
              <w:rPr>
                <w:rFonts w:asciiTheme="minorEastAsia" w:hAnsiTheme="minorEastAsia" w:cs="Times New Roman" w:hint="eastAsia"/>
                <w:sz w:val="18"/>
                <w:szCs w:val="18"/>
              </w:rPr>
              <w:t>光学片各年销售收入</w:t>
            </w:r>
          </w:p>
        </w:tc>
        <w:tc>
          <w:tcPr>
            <w:tcW w:w="1099" w:type="pct"/>
            <w:vAlign w:val="center"/>
          </w:tcPr>
          <w:p w:rsidR="009F7F50" w:rsidRPr="0025124F" w:rsidRDefault="009F7F50" w:rsidP="009A0CC9">
            <w:pPr>
              <w:snapToGrid w:val="0"/>
              <w:spacing w:line="348" w:lineRule="auto"/>
              <w:jc w:val="right"/>
              <w:rPr>
                <w:rFonts w:asciiTheme="minorEastAsia" w:eastAsiaTheme="minorEastAsia" w:hAnsiTheme="minorEastAsia"/>
                <w:sz w:val="18"/>
                <w:szCs w:val="18"/>
              </w:rPr>
            </w:pPr>
            <w:r w:rsidRPr="0025124F">
              <w:rPr>
                <w:rFonts w:asciiTheme="minorEastAsia" w:eastAsiaTheme="minorEastAsia" w:hAnsiTheme="minorEastAsia"/>
                <w:sz w:val="18"/>
                <w:szCs w:val="18"/>
              </w:rPr>
              <w:t>38,279,522.17</w:t>
            </w:r>
          </w:p>
        </w:tc>
        <w:tc>
          <w:tcPr>
            <w:tcW w:w="940" w:type="pct"/>
            <w:vAlign w:val="center"/>
          </w:tcPr>
          <w:p w:rsidR="009F7F50" w:rsidRPr="0025124F" w:rsidRDefault="009F7F50" w:rsidP="009A0CC9">
            <w:pPr>
              <w:snapToGrid w:val="0"/>
              <w:spacing w:line="348" w:lineRule="auto"/>
              <w:jc w:val="right"/>
              <w:rPr>
                <w:rFonts w:asciiTheme="minorEastAsia" w:eastAsiaTheme="minorEastAsia" w:hAnsiTheme="minorEastAsia"/>
                <w:sz w:val="18"/>
                <w:szCs w:val="18"/>
              </w:rPr>
            </w:pPr>
            <w:r w:rsidRPr="0025124F">
              <w:rPr>
                <w:rFonts w:asciiTheme="minorEastAsia" w:eastAsiaTheme="minorEastAsia" w:hAnsiTheme="minorEastAsia"/>
                <w:sz w:val="18"/>
                <w:szCs w:val="18"/>
              </w:rPr>
              <w:t>31,530,173.71</w:t>
            </w:r>
          </w:p>
        </w:tc>
        <w:tc>
          <w:tcPr>
            <w:tcW w:w="942" w:type="pct"/>
            <w:vAlign w:val="center"/>
          </w:tcPr>
          <w:p w:rsidR="009F7F50" w:rsidRPr="0025124F" w:rsidRDefault="009F7F50" w:rsidP="009A0CC9">
            <w:pPr>
              <w:snapToGrid w:val="0"/>
              <w:spacing w:line="348" w:lineRule="auto"/>
              <w:jc w:val="right"/>
              <w:rPr>
                <w:rFonts w:asciiTheme="minorEastAsia" w:eastAsiaTheme="minorEastAsia" w:hAnsiTheme="minorEastAsia"/>
                <w:sz w:val="18"/>
                <w:szCs w:val="18"/>
              </w:rPr>
            </w:pPr>
            <w:r w:rsidRPr="0025124F">
              <w:rPr>
                <w:rFonts w:asciiTheme="minorEastAsia" w:eastAsiaTheme="minorEastAsia" w:hAnsiTheme="minorEastAsia"/>
                <w:sz w:val="18"/>
                <w:szCs w:val="18"/>
              </w:rPr>
              <w:t>9,340,813.53</w:t>
            </w:r>
          </w:p>
        </w:tc>
        <w:tc>
          <w:tcPr>
            <w:tcW w:w="940" w:type="pct"/>
            <w:vAlign w:val="center"/>
          </w:tcPr>
          <w:p w:rsidR="009F7F50" w:rsidRPr="0025124F" w:rsidRDefault="009F7F50" w:rsidP="009A0CC9">
            <w:pPr>
              <w:snapToGrid w:val="0"/>
              <w:spacing w:line="348" w:lineRule="auto"/>
              <w:jc w:val="right"/>
              <w:rPr>
                <w:rFonts w:asciiTheme="minorEastAsia" w:eastAsiaTheme="minorEastAsia" w:hAnsiTheme="minorEastAsia"/>
                <w:sz w:val="18"/>
                <w:szCs w:val="18"/>
              </w:rPr>
            </w:pPr>
            <w:r w:rsidRPr="0025124F">
              <w:rPr>
                <w:rFonts w:asciiTheme="minorEastAsia" w:eastAsiaTheme="minorEastAsia" w:hAnsiTheme="minorEastAsia"/>
                <w:sz w:val="18"/>
                <w:szCs w:val="18"/>
              </w:rPr>
              <w:t>2,951,498.60</w:t>
            </w:r>
          </w:p>
        </w:tc>
      </w:tr>
    </w:tbl>
    <w:p w:rsidR="009F7F50" w:rsidRPr="0025124F" w:rsidRDefault="009F7F50" w:rsidP="009A0CC9">
      <w:pPr>
        <w:pStyle w:val="a9"/>
        <w:snapToGrid w:val="0"/>
        <w:spacing w:line="348" w:lineRule="auto"/>
        <w:ind w:firstLine="360"/>
        <w:rPr>
          <w:rFonts w:asciiTheme="minorEastAsia" w:hAnsiTheme="minorEastAsia" w:cs="Times New Roman"/>
          <w:sz w:val="18"/>
          <w:szCs w:val="18"/>
        </w:rPr>
      </w:pPr>
      <w:r w:rsidRPr="0025124F">
        <w:rPr>
          <w:rFonts w:asciiTheme="minorEastAsia" w:hAnsiTheme="minorEastAsia" w:cs="Times New Roman" w:hint="eastAsia"/>
          <w:sz w:val="18"/>
          <w:szCs w:val="18"/>
        </w:rPr>
        <w:t>光学片销售收入至2014年起销售收入开始下降，2014年下降幅度较小，2015年下降幅度较大，但是2015年属于第一年大幅下降，市场未来发展趋势不明确，因此2015年未计提减值准备；2016年光学片销售收入连续两年大幅下降，市场行情难以好转，并且2016年底，蓝宝石晶片生产线已经停产闲置，因此本年对蓝宝石生产设备计提减值准备。</w:t>
      </w:r>
    </w:p>
    <w:p w:rsidR="009F7F50" w:rsidRPr="0025124F" w:rsidRDefault="009F7F50" w:rsidP="009A0CC9">
      <w:pPr>
        <w:pStyle w:val="a9"/>
        <w:numPr>
          <w:ilvl w:val="0"/>
          <w:numId w:val="6"/>
        </w:numPr>
        <w:snapToGrid w:val="0"/>
        <w:spacing w:line="348" w:lineRule="auto"/>
        <w:ind w:left="0" w:firstLineChars="0" w:firstLine="480"/>
        <w:rPr>
          <w:rFonts w:asciiTheme="minorEastAsia" w:hAnsiTheme="minorEastAsia" w:cs="Times New Roman"/>
          <w:sz w:val="18"/>
          <w:szCs w:val="18"/>
        </w:rPr>
      </w:pPr>
      <w:r w:rsidRPr="0025124F">
        <w:rPr>
          <w:rFonts w:asciiTheme="minorEastAsia" w:hAnsiTheme="minorEastAsia" w:cs="Times New Roman" w:hint="eastAsia"/>
          <w:sz w:val="18"/>
          <w:szCs w:val="18"/>
        </w:rPr>
        <w:t>LED生产设备系2015年从安徽中威光电材料有限公司购买，2015年正常生产并销售LED支架，实现销售收入</w:t>
      </w:r>
      <w:r w:rsidR="00A44690">
        <w:rPr>
          <w:rFonts w:asciiTheme="minorEastAsia" w:hAnsiTheme="minorEastAsia" w:cs="Times New Roman" w:hint="eastAsia"/>
          <w:sz w:val="18"/>
          <w:szCs w:val="18"/>
        </w:rPr>
        <w:t>2</w:t>
      </w:r>
      <w:r w:rsidRPr="0025124F">
        <w:rPr>
          <w:rFonts w:asciiTheme="minorEastAsia" w:hAnsiTheme="minorEastAsia" w:cs="Times New Roman" w:hint="eastAsia"/>
          <w:sz w:val="18"/>
          <w:szCs w:val="18"/>
        </w:rPr>
        <w:t>,</w:t>
      </w:r>
      <w:r w:rsidR="00A44690">
        <w:rPr>
          <w:rFonts w:asciiTheme="minorEastAsia" w:hAnsiTheme="minorEastAsia" w:cs="Times New Roman" w:hint="eastAsia"/>
          <w:sz w:val="18"/>
          <w:szCs w:val="18"/>
        </w:rPr>
        <w:t>523</w:t>
      </w:r>
      <w:r w:rsidRPr="0025124F">
        <w:rPr>
          <w:rFonts w:asciiTheme="minorEastAsia" w:hAnsiTheme="minorEastAsia" w:cs="Times New Roman" w:hint="eastAsia"/>
          <w:sz w:val="18"/>
          <w:szCs w:val="18"/>
        </w:rPr>
        <w:t>.</w:t>
      </w:r>
      <w:r w:rsidR="00A44690">
        <w:rPr>
          <w:rFonts w:asciiTheme="minorEastAsia" w:hAnsiTheme="minorEastAsia" w:cs="Times New Roman" w:hint="eastAsia"/>
          <w:sz w:val="18"/>
          <w:szCs w:val="18"/>
        </w:rPr>
        <w:t>47</w:t>
      </w:r>
      <w:r w:rsidRPr="0025124F">
        <w:rPr>
          <w:rFonts w:asciiTheme="minorEastAsia" w:hAnsiTheme="minorEastAsia" w:cs="Times New Roman" w:hint="eastAsia"/>
          <w:sz w:val="18"/>
          <w:szCs w:val="18"/>
        </w:rPr>
        <w:t>万元。2016年实现LED销售收入1,056.07万元，销售收入大幅下降，且2016年底与LED支架相关的生产设备大部分已经停产，</w:t>
      </w:r>
      <w:r w:rsidR="00C92C84" w:rsidRPr="0025124F">
        <w:rPr>
          <w:rFonts w:asciiTheme="minorEastAsia" w:hAnsiTheme="minorEastAsia" w:cs="Times New Roman" w:hint="eastAsia"/>
          <w:sz w:val="18"/>
          <w:szCs w:val="18"/>
        </w:rPr>
        <w:t>而且对于机器设备中的LED支架模具，其中大部分模具对应的LED支架产品已无销售市场，因此2016年底对其计提减值准备。</w:t>
      </w:r>
    </w:p>
    <w:p w:rsidR="009F7F50" w:rsidRPr="0025124F" w:rsidRDefault="009F7F50" w:rsidP="009A0CC9">
      <w:pPr>
        <w:pStyle w:val="a9"/>
        <w:numPr>
          <w:ilvl w:val="0"/>
          <w:numId w:val="6"/>
        </w:numPr>
        <w:snapToGrid w:val="0"/>
        <w:spacing w:line="348" w:lineRule="auto"/>
        <w:ind w:left="0" w:firstLine="360"/>
        <w:rPr>
          <w:rFonts w:asciiTheme="minorEastAsia" w:hAnsiTheme="minorEastAsia" w:cs="Times New Roman"/>
          <w:sz w:val="18"/>
          <w:szCs w:val="18"/>
        </w:rPr>
      </w:pPr>
      <w:r w:rsidRPr="0025124F">
        <w:rPr>
          <w:rFonts w:asciiTheme="minorEastAsia" w:hAnsiTheme="minorEastAsia" w:cs="Times New Roman" w:hint="eastAsia"/>
          <w:sz w:val="18"/>
          <w:szCs w:val="18"/>
        </w:rPr>
        <w:t>镀膜生产设备本期计提减值，主要由于镀膜机设备老化，无法满足生</w:t>
      </w:r>
      <w:r w:rsidR="00DD3852" w:rsidRPr="0025124F">
        <w:rPr>
          <w:rFonts w:asciiTheme="minorEastAsia" w:hAnsiTheme="minorEastAsia" w:cs="Times New Roman" w:hint="eastAsia"/>
          <w:sz w:val="18"/>
          <w:szCs w:val="18"/>
        </w:rPr>
        <w:t>产需要</w:t>
      </w:r>
      <w:r w:rsidRPr="0025124F">
        <w:rPr>
          <w:rFonts w:asciiTheme="minorEastAsia" w:hAnsiTheme="minorEastAsia" w:cs="Times New Roman" w:hint="eastAsia"/>
          <w:sz w:val="18"/>
          <w:szCs w:val="18"/>
        </w:rPr>
        <w:t>，因此2016年底对其计提减值准备。</w:t>
      </w:r>
    </w:p>
    <w:p w:rsidR="00425C15" w:rsidRDefault="00425C15" w:rsidP="009A0CC9">
      <w:pPr>
        <w:snapToGrid w:val="0"/>
        <w:spacing w:line="348" w:lineRule="auto"/>
        <w:rPr>
          <w:rFonts w:asciiTheme="minorEastAsia" w:hAnsiTheme="minorEastAsia" w:cs="宋体"/>
          <w:color w:val="000000"/>
          <w:kern w:val="0"/>
          <w:sz w:val="24"/>
          <w:szCs w:val="24"/>
        </w:rPr>
      </w:pPr>
    </w:p>
    <w:p w:rsidR="00A72302" w:rsidRDefault="00A72302" w:rsidP="009A0CC9">
      <w:pPr>
        <w:snapToGrid w:val="0"/>
        <w:spacing w:line="348"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（三）年审会计师意见</w:t>
      </w:r>
    </w:p>
    <w:p w:rsidR="00425C15" w:rsidRDefault="00A72302" w:rsidP="00425C15">
      <w:pPr>
        <w:snapToGrid w:val="0"/>
        <w:spacing w:line="348"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871B72" w:rsidRPr="00871B72">
        <w:rPr>
          <w:rFonts w:asciiTheme="minorEastAsia" w:hAnsiTheme="minorEastAsia" w:cs="宋体" w:hint="eastAsia"/>
          <w:color w:val="000000"/>
          <w:kern w:val="0"/>
          <w:sz w:val="24"/>
          <w:szCs w:val="24"/>
        </w:rPr>
        <w:t>公司年审会计师华普天健会计师事务所（特殊普通合伙）发表意见如下</w:t>
      </w:r>
      <w:r w:rsidR="00871B72">
        <w:rPr>
          <w:rFonts w:asciiTheme="minorEastAsia" w:hAnsiTheme="minorEastAsia" w:cs="宋体" w:hint="eastAsia"/>
          <w:color w:val="000000"/>
          <w:kern w:val="0"/>
          <w:sz w:val="24"/>
          <w:szCs w:val="24"/>
        </w:rPr>
        <w:t>：</w:t>
      </w:r>
    </w:p>
    <w:p w:rsidR="00871B72" w:rsidRPr="00425C15" w:rsidRDefault="00425C15" w:rsidP="003D7536">
      <w:pPr>
        <w:snapToGrid w:val="0"/>
        <w:spacing w:line="348" w:lineRule="auto"/>
        <w:rPr>
          <w:sz w:val="24"/>
          <w:szCs w:val="24"/>
        </w:rPr>
      </w:pPr>
      <w:r>
        <w:rPr>
          <w:rFonts w:asciiTheme="minorEastAsia" w:hAnsiTheme="minorEastAsia" w:cs="宋体" w:hint="eastAsia"/>
          <w:color w:val="000000"/>
          <w:kern w:val="0"/>
          <w:sz w:val="24"/>
          <w:szCs w:val="24"/>
        </w:rPr>
        <w:t xml:space="preserve">    </w:t>
      </w:r>
      <w:r w:rsidRPr="00505A98">
        <w:rPr>
          <w:rFonts w:hint="eastAsia"/>
          <w:sz w:val="24"/>
          <w:szCs w:val="24"/>
        </w:rPr>
        <w:t>基于我们为铜峰电子</w:t>
      </w:r>
      <w:r w:rsidRPr="00505A98">
        <w:rPr>
          <w:rFonts w:hint="eastAsia"/>
          <w:sz w:val="24"/>
          <w:szCs w:val="24"/>
        </w:rPr>
        <w:t>2016</w:t>
      </w:r>
      <w:r w:rsidRPr="00505A98">
        <w:rPr>
          <w:rFonts w:hint="eastAsia"/>
          <w:sz w:val="24"/>
          <w:szCs w:val="24"/>
        </w:rPr>
        <w:t>年度财务报表整体发表审计意见的审计工作，我</w:t>
      </w:r>
      <w:r w:rsidRPr="00505A98">
        <w:rPr>
          <w:rFonts w:hint="eastAsia"/>
          <w:sz w:val="24"/>
          <w:szCs w:val="24"/>
        </w:rPr>
        <w:lastRenderedPageBreak/>
        <w:t>们阅读了铜峰电子对本问题的回复，并将其与我们在审计铜峰电子</w:t>
      </w:r>
      <w:r w:rsidRPr="00505A98">
        <w:rPr>
          <w:rFonts w:hint="eastAsia"/>
          <w:sz w:val="24"/>
          <w:szCs w:val="24"/>
        </w:rPr>
        <w:t>2016</w:t>
      </w:r>
      <w:r w:rsidRPr="00505A98">
        <w:rPr>
          <w:rFonts w:hint="eastAsia"/>
          <w:sz w:val="24"/>
          <w:szCs w:val="24"/>
        </w:rPr>
        <w:t>年度财务报表时从铜峰电子获取的管理层解释、审计证据以及铜峰电子管理层声明书中的声明进行了比较，我们</w:t>
      </w:r>
      <w:r>
        <w:rPr>
          <w:rFonts w:hint="eastAsia"/>
          <w:sz w:val="24"/>
          <w:szCs w:val="24"/>
        </w:rPr>
        <w:t>认为铜峰电子</w:t>
      </w:r>
      <w:r>
        <w:rPr>
          <w:rFonts w:hint="eastAsia"/>
          <w:sz w:val="24"/>
          <w:szCs w:val="24"/>
        </w:rPr>
        <w:t>2016</w:t>
      </w:r>
      <w:r>
        <w:rPr>
          <w:rFonts w:hint="eastAsia"/>
          <w:sz w:val="24"/>
          <w:szCs w:val="24"/>
        </w:rPr>
        <w:t>年计提的减值准备是合适的、审慎的</w:t>
      </w:r>
      <w:r w:rsidRPr="00505A98">
        <w:rPr>
          <w:rFonts w:hint="eastAsia"/>
          <w:sz w:val="24"/>
          <w:szCs w:val="24"/>
        </w:rPr>
        <w:t>。</w:t>
      </w:r>
    </w:p>
    <w:p w:rsidR="00F477D4" w:rsidRDefault="00F477D4" w:rsidP="009A0CC9">
      <w:pPr>
        <w:pStyle w:val="a9"/>
        <w:snapToGrid w:val="0"/>
        <w:spacing w:line="348" w:lineRule="auto"/>
        <w:ind w:left="420" w:firstLineChars="0" w:firstLine="0"/>
        <w:rPr>
          <w:rFonts w:asciiTheme="minorEastAsia" w:hAnsiTheme="minorEastAsia" w:cs="宋体"/>
          <w:color w:val="FF0000"/>
          <w:kern w:val="0"/>
          <w:sz w:val="24"/>
          <w:szCs w:val="24"/>
        </w:rPr>
      </w:pPr>
    </w:p>
    <w:p w:rsidR="007534CC" w:rsidRPr="009361F6" w:rsidRDefault="009361F6" w:rsidP="009A0CC9">
      <w:pPr>
        <w:pStyle w:val="a9"/>
        <w:snapToGrid w:val="0"/>
        <w:spacing w:line="348" w:lineRule="auto"/>
        <w:ind w:left="420" w:firstLineChars="0" w:firstLine="0"/>
        <w:rPr>
          <w:rFonts w:ascii="黑体" w:eastAsia="黑体" w:hAnsi="黑体" w:cs="宋体"/>
          <w:sz w:val="28"/>
          <w:szCs w:val="28"/>
        </w:rPr>
      </w:pPr>
      <w:r w:rsidRPr="009361F6">
        <w:rPr>
          <w:rFonts w:ascii="黑体" w:eastAsia="黑体" w:hAnsi="黑体" w:cs="宋体" w:hint="eastAsia"/>
          <w:color w:val="FF0000"/>
          <w:kern w:val="0"/>
          <w:sz w:val="28"/>
          <w:szCs w:val="28"/>
        </w:rPr>
        <w:t xml:space="preserve"> </w:t>
      </w:r>
      <w:r w:rsidR="007534CC" w:rsidRPr="009361F6">
        <w:rPr>
          <w:rFonts w:ascii="黑体" w:eastAsia="黑体" w:hAnsi="黑体" w:cs="宋体" w:hint="eastAsia"/>
          <w:sz w:val="28"/>
          <w:szCs w:val="28"/>
        </w:rPr>
        <w:t>三、关于募集资金使用。</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公司新能源用薄膜材料技改项目系公司</w:t>
      </w:r>
      <w:r w:rsidRPr="00CA2ED5">
        <w:rPr>
          <w:rFonts w:asciiTheme="minorEastAsia" w:eastAsiaTheme="minorEastAsia" w:hAnsiTheme="minorEastAsia" w:cs="宋体"/>
        </w:rPr>
        <w:t>2012</w:t>
      </w:r>
      <w:r w:rsidRPr="00CA2ED5">
        <w:rPr>
          <w:rFonts w:asciiTheme="minorEastAsia" w:eastAsiaTheme="minorEastAsia" w:hAnsiTheme="minorEastAsia" w:cs="宋体" w:hint="eastAsia"/>
        </w:rPr>
        <w:t>年非公开发行募集资金的投入项目之一，预算总投资额</w:t>
      </w:r>
      <w:r w:rsidRPr="00CA2ED5">
        <w:rPr>
          <w:rFonts w:asciiTheme="minorEastAsia" w:eastAsiaTheme="minorEastAsia" w:hAnsiTheme="minorEastAsia" w:cs="宋体"/>
        </w:rPr>
        <w:t>4.27</w:t>
      </w:r>
      <w:r w:rsidRPr="00CA2ED5">
        <w:rPr>
          <w:rFonts w:asciiTheme="minorEastAsia" w:eastAsiaTheme="minorEastAsia" w:hAnsiTheme="minorEastAsia" w:cs="宋体" w:hint="eastAsia"/>
        </w:rPr>
        <w:t>亿元。截止</w:t>
      </w:r>
      <w:r w:rsidRPr="00CA2ED5">
        <w:rPr>
          <w:rFonts w:asciiTheme="minorEastAsia" w:eastAsiaTheme="minorEastAsia" w:hAnsiTheme="minorEastAsia" w:cs="宋体"/>
        </w:rPr>
        <w:t>2015</w:t>
      </w:r>
      <w:r w:rsidRPr="00CA2ED5">
        <w:rPr>
          <w:rFonts w:asciiTheme="minorEastAsia" w:eastAsiaTheme="minorEastAsia" w:hAnsiTheme="minorEastAsia" w:cs="宋体" w:hint="eastAsia"/>
        </w:rPr>
        <w:t>年年末，该项目累计总投入</w:t>
      </w:r>
      <w:r w:rsidRPr="00CA2ED5">
        <w:rPr>
          <w:rFonts w:asciiTheme="minorEastAsia" w:eastAsiaTheme="minorEastAsia" w:hAnsiTheme="minorEastAsia" w:cs="宋体"/>
        </w:rPr>
        <w:t>2.09</w:t>
      </w:r>
      <w:r w:rsidRPr="00CA2ED5">
        <w:rPr>
          <w:rFonts w:asciiTheme="minorEastAsia" w:eastAsiaTheme="minorEastAsia" w:hAnsiTheme="minorEastAsia" w:cs="宋体" w:hint="eastAsia"/>
        </w:rPr>
        <w:t>亿元，占预算的</w:t>
      </w:r>
      <w:r w:rsidRPr="00CA2ED5">
        <w:rPr>
          <w:rFonts w:asciiTheme="minorEastAsia" w:eastAsiaTheme="minorEastAsia" w:hAnsiTheme="minorEastAsia" w:cs="宋体"/>
        </w:rPr>
        <w:t>48.87%</w:t>
      </w:r>
      <w:r w:rsidRPr="00CA2ED5">
        <w:rPr>
          <w:rFonts w:asciiTheme="minorEastAsia" w:eastAsiaTheme="minorEastAsia" w:hAnsiTheme="minorEastAsia" w:cs="宋体" w:hint="eastAsia"/>
        </w:rPr>
        <w:t>。公司</w:t>
      </w:r>
      <w:r w:rsidRPr="00CA2ED5">
        <w:rPr>
          <w:rFonts w:asciiTheme="minorEastAsia" w:eastAsiaTheme="minorEastAsia" w:hAnsiTheme="minorEastAsia" w:cs="宋体"/>
        </w:rPr>
        <w:t>2016</w:t>
      </w:r>
      <w:r w:rsidRPr="00CA2ED5">
        <w:rPr>
          <w:rFonts w:asciiTheme="minorEastAsia" w:eastAsiaTheme="minorEastAsia" w:hAnsiTheme="minorEastAsia" w:cs="宋体" w:hint="eastAsia"/>
        </w:rPr>
        <w:t>年间将该在建工程年初余额</w:t>
      </w:r>
      <w:r w:rsidRPr="00CA2ED5">
        <w:rPr>
          <w:rFonts w:asciiTheme="minorEastAsia" w:eastAsiaTheme="minorEastAsia" w:hAnsiTheme="minorEastAsia" w:cs="宋体"/>
        </w:rPr>
        <w:t>1,461.34</w:t>
      </w:r>
      <w:r w:rsidRPr="00CA2ED5">
        <w:rPr>
          <w:rFonts w:asciiTheme="minorEastAsia" w:eastAsiaTheme="minorEastAsia" w:hAnsiTheme="minorEastAsia" w:cs="宋体" w:hint="eastAsia"/>
        </w:rPr>
        <w:t>万元全部转入固定资产后，未再进一步投入。请公司补充披露该募投项目的投入是否符合计划进度、实现的效益是否符合预期及其原因；公司</w:t>
      </w:r>
      <w:r w:rsidRPr="00CA2ED5">
        <w:rPr>
          <w:rFonts w:asciiTheme="minorEastAsia" w:eastAsiaTheme="minorEastAsia" w:hAnsiTheme="minorEastAsia" w:cs="宋体"/>
        </w:rPr>
        <w:t>2016</w:t>
      </w:r>
      <w:r w:rsidRPr="00CA2ED5">
        <w:rPr>
          <w:rFonts w:asciiTheme="minorEastAsia" w:eastAsiaTheme="minorEastAsia" w:hAnsiTheme="minorEastAsia" w:cs="宋体" w:hint="eastAsia"/>
        </w:rPr>
        <w:t>年未继续投入的原因，以及后续是否将继续投入，并请充分提示相关风险。若相关募集资金已有其他用途安排的，请充分披露后续使用计划。</w:t>
      </w:r>
    </w:p>
    <w:p w:rsidR="007534CC" w:rsidRPr="004D043D" w:rsidRDefault="007534CC" w:rsidP="009A0CC9">
      <w:pPr>
        <w:pStyle w:val="Default"/>
        <w:snapToGrid w:val="0"/>
        <w:spacing w:line="348" w:lineRule="auto"/>
        <w:rPr>
          <w:rFonts w:asciiTheme="minorEastAsia" w:eastAsiaTheme="minorEastAsia" w:hAnsiTheme="minorEastAsia" w:cs="宋体"/>
          <w:b/>
        </w:rPr>
      </w:pPr>
      <w:r w:rsidRPr="004D043D">
        <w:rPr>
          <w:rFonts w:asciiTheme="minorEastAsia" w:eastAsiaTheme="minorEastAsia" w:hAnsiTheme="minorEastAsia" w:cs="宋体" w:hint="eastAsia"/>
          <w:b/>
        </w:rPr>
        <w:t xml:space="preserve">    答复：（一）该募投项目的投入是否符合计划进度、实现的效益是否符合预期及其原因</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新能源用薄膜材料技改项目于2012年立项，预计总投资</w:t>
      </w:r>
      <w:r w:rsidRPr="00CA2ED5">
        <w:rPr>
          <w:rFonts w:asciiTheme="minorEastAsia" w:eastAsiaTheme="minorEastAsia" w:hAnsiTheme="minorEastAsia" w:cs="宋体"/>
        </w:rPr>
        <w:t>42,754</w:t>
      </w:r>
      <w:r w:rsidRPr="00CA2ED5">
        <w:rPr>
          <w:rFonts w:asciiTheme="minorEastAsia" w:eastAsiaTheme="minorEastAsia" w:hAnsiTheme="minorEastAsia" w:cs="宋体" w:hint="eastAsia"/>
        </w:rPr>
        <w:t>万元，建设期1.5年，原计划建设两条新能源用薄膜材料生产线，</w:t>
      </w:r>
      <w:r w:rsidRPr="00CA2ED5">
        <w:rPr>
          <w:rFonts w:asciiTheme="minorEastAsia" w:eastAsiaTheme="minorEastAsia" w:hAnsiTheme="minorEastAsia" w:cs="宋体"/>
        </w:rPr>
        <w:t>达产后年产新能源用薄膜</w:t>
      </w:r>
      <w:r w:rsidRPr="00CA2ED5">
        <w:rPr>
          <w:rFonts w:asciiTheme="minorEastAsia" w:eastAsiaTheme="minorEastAsia" w:hAnsiTheme="minorEastAsia" w:cs="宋体" w:hint="eastAsia"/>
        </w:rPr>
        <w:t>2,600吨，产品主要应用于交直流滤波、混合动力汽车以及太阳能光伏发电和风力发电等新能源领域。</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2013年1月募集资金到位后,考虑到国内电容薄膜行业产能</w:t>
      </w:r>
      <w:r w:rsidR="00D55175">
        <w:rPr>
          <w:rFonts w:asciiTheme="minorEastAsia" w:eastAsiaTheme="minorEastAsia" w:hAnsiTheme="minorEastAsia" w:cs="宋体" w:hint="eastAsia"/>
        </w:rPr>
        <w:t>有加速</w:t>
      </w:r>
      <w:r w:rsidRPr="00CA2ED5">
        <w:rPr>
          <w:rFonts w:asciiTheme="minorEastAsia" w:eastAsiaTheme="minorEastAsia" w:hAnsiTheme="minorEastAsia" w:cs="宋体" w:hint="eastAsia"/>
        </w:rPr>
        <w:t>扩张</w:t>
      </w:r>
      <w:r w:rsidR="00D55175">
        <w:rPr>
          <w:rFonts w:asciiTheme="minorEastAsia" w:eastAsiaTheme="minorEastAsia" w:hAnsiTheme="minorEastAsia" w:cs="宋体" w:hint="eastAsia"/>
        </w:rPr>
        <w:t>趋势</w:t>
      </w:r>
      <w:r w:rsidRPr="00CA2ED5">
        <w:rPr>
          <w:rFonts w:asciiTheme="minorEastAsia" w:eastAsiaTheme="minorEastAsia" w:hAnsiTheme="minorEastAsia" w:cs="宋体" w:hint="eastAsia"/>
        </w:rPr>
        <w:t>，本着谨慎性的原则,公司决定先期投资建设一条生产线，待</w:t>
      </w:r>
      <w:r w:rsidRPr="00CA2ED5">
        <w:rPr>
          <w:rFonts w:asciiTheme="minorEastAsia" w:eastAsiaTheme="minorEastAsia" w:hAnsiTheme="minorEastAsia" w:cs="宋体"/>
        </w:rPr>
        <w:t>第一条生产线投产后</w:t>
      </w:r>
      <w:r w:rsidRPr="00CA2ED5">
        <w:rPr>
          <w:rFonts w:asciiTheme="minorEastAsia" w:eastAsiaTheme="minorEastAsia" w:hAnsiTheme="minorEastAsia" w:cs="宋体" w:hint="eastAsia"/>
        </w:rPr>
        <w:t>再</w:t>
      </w:r>
      <w:r w:rsidRPr="00CA2ED5">
        <w:rPr>
          <w:rFonts w:asciiTheme="minorEastAsia" w:eastAsiaTheme="minorEastAsia" w:hAnsiTheme="minorEastAsia" w:cs="宋体"/>
        </w:rPr>
        <w:t>根据市场情况决定</w:t>
      </w:r>
      <w:r w:rsidRPr="00CA2ED5">
        <w:rPr>
          <w:rFonts w:asciiTheme="minorEastAsia" w:eastAsiaTheme="minorEastAsia" w:hAnsiTheme="minorEastAsia" w:cs="宋体" w:hint="eastAsia"/>
        </w:rPr>
        <w:t>后</w:t>
      </w:r>
      <w:r w:rsidRPr="00CA2ED5">
        <w:rPr>
          <w:rFonts w:asciiTheme="minorEastAsia" w:eastAsiaTheme="minorEastAsia" w:hAnsiTheme="minorEastAsia" w:cs="宋体"/>
        </w:rPr>
        <w:t>续投资</w:t>
      </w:r>
      <w:r w:rsidRPr="00CA2ED5">
        <w:rPr>
          <w:rFonts w:asciiTheme="minorEastAsia" w:eastAsiaTheme="minorEastAsia" w:hAnsiTheme="minorEastAsia" w:cs="宋体" w:hint="eastAsia"/>
        </w:rPr>
        <w:t>计划。该项目原计划2014年下半年建成投产，后由于国外设备到港时间推迟以及优化部分工序的原因，投产时间比原计划延期，项目首条生产线2015年2月开始投料试生产，2015年10月达到可使用状态。项目首条生产线自投产以来运行稳定，目前可批量生产4微米以下的各</w:t>
      </w:r>
      <w:r w:rsidR="00706F43">
        <w:rPr>
          <w:rFonts w:asciiTheme="minorEastAsia" w:eastAsiaTheme="minorEastAsia" w:hAnsiTheme="minorEastAsia" w:cs="宋体" w:hint="eastAsia"/>
        </w:rPr>
        <w:t>种规格超薄型耐高温薄膜，并</w:t>
      </w:r>
      <w:r w:rsidR="0062138A">
        <w:rPr>
          <w:rFonts w:asciiTheme="minorEastAsia" w:eastAsiaTheme="minorEastAsia" w:hAnsiTheme="minorEastAsia" w:cs="宋体" w:hint="eastAsia"/>
        </w:rPr>
        <w:t>成功</w:t>
      </w:r>
      <w:r w:rsidRPr="00CA2ED5">
        <w:rPr>
          <w:rFonts w:asciiTheme="minorEastAsia" w:eastAsiaTheme="minorEastAsia" w:hAnsiTheme="minorEastAsia" w:cs="宋体" w:hint="eastAsia"/>
        </w:rPr>
        <w:t>研制开发出</w:t>
      </w:r>
      <w:r w:rsidR="0062138A">
        <w:rPr>
          <w:rFonts w:asciiTheme="minorEastAsia" w:eastAsiaTheme="minorEastAsia" w:hAnsiTheme="minorEastAsia" w:cs="宋体" w:hint="eastAsia"/>
        </w:rPr>
        <w:t>2.2</w:t>
      </w:r>
      <w:r w:rsidRPr="00CA2ED5">
        <w:rPr>
          <w:rFonts w:asciiTheme="minorEastAsia" w:eastAsiaTheme="minorEastAsia" w:hAnsiTheme="minorEastAsia" w:cs="宋体" w:hint="eastAsia"/>
        </w:rPr>
        <w:t>um耐高温超薄膜</w:t>
      </w:r>
      <w:r w:rsidR="0062138A">
        <w:rPr>
          <w:rFonts w:asciiTheme="minorEastAsia" w:eastAsiaTheme="minorEastAsia" w:hAnsiTheme="minorEastAsia" w:cs="宋体" w:hint="eastAsia"/>
        </w:rPr>
        <w:t>，各项技术性能指标均达到国际同类产品先进水平</w:t>
      </w:r>
      <w:r w:rsidRPr="00CA2ED5">
        <w:rPr>
          <w:rFonts w:asciiTheme="minorEastAsia" w:eastAsiaTheme="minorEastAsia" w:hAnsiTheme="minorEastAsia" w:cs="宋体" w:hint="eastAsia"/>
        </w:rPr>
        <w:t>。</w:t>
      </w:r>
    </w:p>
    <w:p w:rsidR="007534CC" w:rsidRDefault="007534CC" w:rsidP="009A0CC9">
      <w:pPr>
        <w:pStyle w:val="Default"/>
        <w:snapToGrid w:val="0"/>
        <w:spacing w:line="348" w:lineRule="auto"/>
        <w:rPr>
          <w:rFonts w:asciiTheme="minorEastAsia" w:eastAsiaTheme="minorEastAsia" w:hAnsiTheme="minorEastAsia" w:cs="宋体"/>
        </w:rPr>
      </w:pPr>
      <w:r w:rsidRPr="00CA2ED5">
        <w:rPr>
          <w:rFonts w:asciiTheme="minorEastAsia" w:eastAsiaTheme="minorEastAsia" w:hAnsiTheme="minorEastAsia" w:cs="宋体" w:hint="eastAsia"/>
        </w:rPr>
        <w:t xml:space="preserve">    截止2016年12月31日，该项目实际亏损</w:t>
      </w:r>
      <w:r w:rsidRPr="00CA2ED5">
        <w:rPr>
          <w:rFonts w:asciiTheme="minorEastAsia" w:eastAsiaTheme="minorEastAsia" w:hAnsiTheme="minorEastAsia" w:cs="宋体"/>
        </w:rPr>
        <w:t>1,04</w:t>
      </w:r>
      <w:r w:rsidRPr="00CA2ED5">
        <w:rPr>
          <w:rFonts w:asciiTheme="minorEastAsia" w:eastAsiaTheme="minorEastAsia" w:hAnsiTheme="minorEastAsia" w:cs="宋体" w:hint="eastAsia"/>
        </w:rPr>
        <w:t>4万元，项目未达到预期效益的主要原因：</w:t>
      </w:r>
    </w:p>
    <w:p w:rsidR="00706F43" w:rsidRPr="00CA2ED5" w:rsidRDefault="00706F43" w:rsidP="009A0CC9">
      <w:pPr>
        <w:pStyle w:val="Default"/>
        <w:snapToGrid w:val="0"/>
        <w:spacing w:line="348" w:lineRule="auto"/>
        <w:rPr>
          <w:rFonts w:asciiTheme="minorEastAsia" w:eastAsiaTheme="minorEastAsia" w:hAnsiTheme="minorEastAsia" w:cs="宋体"/>
        </w:rPr>
      </w:pPr>
      <w:r w:rsidRPr="00CA2ED5">
        <w:rPr>
          <w:rFonts w:asciiTheme="minorEastAsia" w:eastAsiaTheme="minorEastAsia" w:hAnsiTheme="minorEastAsia" w:cs="宋体" w:hint="eastAsia"/>
        </w:rPr>
        <w:t xml:space="preserve">   </w:t>
      </w:r>
      <w:r>
        <w:rPr>
          <w:rFonts w:asciiTheme="minorEastAsia" w:eastAsiaTheme="minorEastAsia" w:hAnsiTheme="minorEastAsia" w:cs="宋体" w:hint="eastAsia"/>
        </w:rPr>
        <w:t>1</w:t>
      </w:r>
      <w:r w:rsidRPr="00CA2ED5">
        <w:rPr>
          <w:rFonts w:asciiTheme="minorEastAsia" w:eastAsiaTheme="minorEastAsia" w:hAnsiTheme="minorEastAsia" w:cs="宋体" w:hint="eastAsia"/>
        </w:rPr>
        <w:t>、新能源用超薄型薄膜市场需求低于早前预期</w:t>
      </w:r>
      <w:r>
        <w:rPr>
          <w:rFonts w:asciiTheme="minorEastAsia" w:eastAsiaTheme="minorEastAsia" w:hAnsiTheme="minorEastAsia" w:cs="宋体" w:hint="eastAsia"/>
        </w:rPr>
        <w:t>。</w:t>
      </w:r>
    </w:p>
    <w:p w:rsidR="00706F43" w:rsidRPr="00CA2ED5" w:rsidRDefault="00706F43"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该项目产品主要应用于混合动力汽车以及太阳能光伏发电和风力发电等新能</w:t>
      </w:r>
      <w:r w:rsidRPr="00CA2ED5">
        <w:rPr>
          <w:rFonts w:asciiTheme="minorEastAsia" w:eastAsiaTheme="minorEastAsia" w:hAnsiTheme="minorEastAsia" w:cs="宋体" w:hint="eastAsia"/>
        </w:rPr>
        <w:lastRenderedPageBreak/>
        <w:t>源领域。受</w:t>
      </w:r>
      <w:r w:rsidRPr="00CA2ED5">
        <w:rPr>
          <w:rFonts w:asciiTheme="minorEastAsia" w:eastAsiaTheme="minorEastAsia" w:hAnsiTheme="minorEastAsia" w:cs="宋体"/>
        </w:rPr>
        <w:t>关键技术、配套设施不完善等</w:t>
      </w:r>
      <w:r w:rsidRPr="00CA2ED5">
        <w:rPr>
          <w:rFonts w:asciiTheme="minorEastAsia" w:eastAsiaTheme="minorEastAsia" w:hAnsiTheme="minorEastAsia" w:cs="宋体" w:hint="eastAsia"/>
        </w:rPr>
        <w:t>因素影响</w:t>
      </w:r>
      <w:r w:rsidRPr="00CA2ED5">
        <w:rPr>
          <w:rFonts w:asciiTheme="minorEastAsia" w:eastAsiaTheme="minorEastAsia" w:hAnsiTheme="minorEastAsia" w:cs="宋体"/>
        </w:rPr>
        <w:t>，</w:t>
      </w:r>
      <w:r w:rsidRPr="00CA2ED5">
        <w:rPr>
          <w:rFonts w:asciiTheme="minorEastAsia" w:eastAsiaTheme="minorEastAsia" w:hAnsiTheme="minorEastAsia" w:cs="宋体" w:hint="eastAsia"/>
        </w:rPr>
        <w:t>我国新能源汽车行业发展较慢，直到2016年才有了快速增长，</w:t>
      </w:r>
      <w:r w:rsidRPr="00CA2ED5">
        <w:rPr>
          <w:rFonts w:asciiTheme="minorEastAsia" w:eastAsiaTheme="minorEastAsia" w:hAnsiTheme="minorEastAsia" w:cs="宋体"/>
        </w:rPr>
        <w:t>据中国汽车工业协会数据统计</w:t>
      </w:r>
      <w:r w:rsidRPr="00CA2ED5">
        <w:rPr>
          <w:rFonts w:asciiTheme="minorEastAsia" w:eastAsiaTheme="minorEastAsia" w:hAnsiTheme="minorEastAsia" w:cs="宋体" w:hint="eastAsia"/>
        </w:rPr>
        <w:t>，</w:t>
      </w:r>
      <w:r w:rsidRPr="00CA2ED5">
        <w:rPr>
          <w:rFonts w:asciiTheme="minorEastAsia" w:eastAsiaTheme="minorEastAsia" w:hAnsiTheme="minorEastAsia" w:cs="宋体"/>
        </w:rPr>
        <w:t>2016年</w:t>
      </w:r>
      <w:r w:rsidRPr="00CA2ED5">
        <w:rPr>
          <w:rFonts w:asciiTheme="minorEastAsia" w:eastAsiaTheme="minorEastAsia" w:hAnsiTheme="minorEastAsia" w:cs="宋体" w:hint="eastAsia"/>
        </w:rPr>
        <w:t>我国</w:t>
      </w:r>
      <w:r w:rsidRPr="00CA2ED5">
        <w:rPr>
          <w:rFonts w:asciiTheme="minorEastAsia" w:eastAsiaTheme="minorEastAsia" w:hAnsiTheme="minorEastAsia" w:cs="宋体"/>
        </w:rPr>
        <w:t>生产新能源汽车51.7万辆</w:t>
      </w:r>
      <w:r w:rsidRPr="00CA2ED5">
        <w:rPr>
          <w:rFonts w:asciiTheme="minorEastAsia" w:eastAsiaTheme="minorEastAsia" w:hAnsiTheme="minorEastAsia" w:cs="宋体" w:hint="eastAsia"/>
        </w:rPr>
        <w:t>，以每辆新能源车消耗超薄型膜1kg测算，国内新能源汽车行业对超薄型膜的总需求量仅为500吨左右。同时，国内新能源汽车所用超薄型膜多数依赖进口，国内超薄型膜的应用还有较长验证周期。另外，在太阳能光伏发电和风力发电等新能源领域，近年来由于经济下行压力加大，能源消耗减少，各地弃风、弃光现象严重，对新能源用薄膜需求量也没有预期增长量大。</w:t>
      </w:r>
    </w:p>
    <w:p w:rsidR="007534CC" w:rsidRPr="00CA2ED5" w:rsidRDefault="00706F43" w:rsidP="009A0CC9">
      <w:pPr>
        <w:pStyle w:val="Default"/>
        <w:snapToGrid w:val="0"/>
        <w:spacing w:line="348" w:lineRule="auto"/>
        <w:rPr>
          <w:rFonts w:asciiTheme="minorEastAsia" w:eastAsiaTheme="minorEastAsia" w:hAnsiTheme="minorEastAsia" w:cs="宋体"/>
        </w:rPr>
      </w:pPr>
      <w:r>
        <w:rPr>
          <w:rFonts w:asciiTheme="minorEastAsia" w:eastAsiaTheme="minorEastAsia" w:hAnsiTheme="minorEastAsia" w:cs="宋体" w:hint="eastAsia"/>
        </w:rPr>
        <w:t xml:space="preserve">    2</w:t>
      </w:r>
      <w:r w:rsidR="00436731">
        <w:rPr>
          <w:rFonts w:asciiTheme="minorEastAsia" w:eastAsiaTheme="minorEastAsia" w:hAnsiTheme="minorEastAsia" w:cs="宋体" w:hint="eastAsia"/>
        </w:rPr>
        <w:t>、</w:t>
      </w:r>
      <w:r w:rsidR="009E3789">
        <w:rPr>
          <w:rFonts w:asciiTheme="minorEastAsia" w:eastAsiaTheme="minorEastAsia" w:hAnsiTheme="minorEastAsia" w:cs="宋体" w:hint="eastAsia"/>
        </w:rPr>
        <w:t>行业竞争加剧，市场</w:t>
      </w:r>
      <w:r w:rsidR="002B0B30">
        <w:rPr>
          <w:rFonts w:asciiTheme="minorEastAsia" w:eastAsiaTheme="minorEastAsia" w:hAnsiTheme="minorEastAsia" w:cs="宋体" w:hint="eastAsia"/>
        </w:rPr>
        <w:t>情况</w:t>
      </w:r>
      <w:r w:rsidR="00436731">
        <w:rPr>
          <w:rFonts w:asciiTheme="minorEastAsia" w:eastAsiaTheme="minorEastAsia" w:hAnsiTheme="minorEastAsia" w:cs="宋体" w:hint="eastAsia"/>
        </w:rPr>
        <w:t>不及预期</w:t>
      </w:r>
      <w:r w:rsidR="00E83F0B">
        <w:rPr>
          <w:rFonts w:asciiTheme="minorEastAsia" w:eastAsiaTheme="minorEastAsia" w:hAnsiTheme="minorEastAsia" w:cs="宋体" w:hint="eastAsia"/>
        </w:rPr>
        <w:t>，项目未按原计划投入</w:t>
      </w:r>
      <w:r w:rsidR="00436731">
        <w:rPr>
          <w:rFonts w:asciiTheme="minorEastAsia" w:eastAsiaTheme="minorEastAsia" w:hAnsiTheme="minorEastAsia" w:cs="宋体" w:hint="eastAsia"/>
        </w:rPr>
        <w:t>。</w:t>
      </w:r>
    </w:p>
    <w:p w:rsidR="007534CC" w:rsidRPr="00CA2ED5" w:rsidRDefault="007534CC" w:rsidP="009A0CC9">
      <w:pPr>
        <w:pStyle w:val="Default"/>
        <w:snapToGrid w:val="0"/>
        <w:spacing w:line="348" w:lineRule="auto"/>
        <w:rPr>
          <w:rFonts w:asciiTheme="minorEastAsia" w:eastAsiaTheme="minorEastAsia" w:hAnsiTheme="minorEastAsia" w:cs="宋体"/>
        </w:rPr>
      </w:pPr>
      <w:r w:rsidRPr="00CA2ED5">
        <w:rPr>
          <w:rFonts w:asciiTheme="minorEastAsia" w:eastAsiaTheme="minorEastAsia" w:hAnsiTheme="minorEastAsia" w:cs="宋体" w:hint="eastAsia"/>
        </w:rPr>
        <w:t xml:space="preserve">    该项目原计划总投资</w:t>
      </w:r>
      <w:r w:rsidRPr="00CA2ED5">
        <w:rPr>
          <w:rFonts w:asciiTheme="minorEastAsia" w:eastAsiaTheme="minorEastAsia" w:hAnsiTheme="minorEastAsia" w:cs="宋体"/>
        </w:rPr>
        <w:t>42,754</w:t>
      </w:r>
      <w:r w:rsidRPr="00CA2ED5">
        <w:rPr>
          <w:rFonts w:asciiTheme="minorEastAsia" w:eastAsiaTheme="minorEastAsia" w:hAnsiTheme="minorEastAsia" w:cs="宋体" w:hint="eastAsia"/>
        </w:rPr>
        <w:t>万元，建设两条生产线，预计</w:t>
      </w:r>
      <w:r w:rsidRPr="00CA2ED5">
        <w:rPr>
          <w:rFonts w:asciiTheme="minorEastAsia" w:eastAsiaTheme="minorEastAsia" w:hAnsiTheme="minorEastAsia" w:cs="宋体"/>
        </w:rPr>
        <w:t>达产后年产新能源用薄膜</w:t>
      </w:r>
      <w:r w:rsidRPr="00CA2ED5">
        <w:rPr>
          <w:rFonts w:asciiTheme="minorEastAsia" w:eastAsiaTheme="minorEastAsia" w:hAnsiTheme="minorEastAsia" w:cs="宋体" w:hint="eastAsia"/>
        </w:rPr>
        <w:t>2,600吨。由于国内电容薄膜的产能从2011年7.4万吨到2015年间骤增到11万吨，产品价格与2010年相比平均下降40%，其中薄型膜价格下降幅度更大。受行业产能扩张过快、市场销售不及预期等因素影响，截止目前公司仅投资建成了一条生产线，实际完成投资19,779</w:t>
      </w:r>
      <w:r w:rsidR="00706F43">
        <w:rPr>
          <w:rFonts w:asciiTheme="minorEastAsia" w:eastAsiaTheme="minorEastAsia" w:hAnsiTheme="minorEastAsia" w:cs="宋体" w:hint="eastAsia"/>
        </w:rPr>
        <w:t>万元，</w:t>
      </w:r>
      <w:r w:rsidRPr="00CA2ED5">
        <w:rPr>
          <w:rFonts w:asciiTheme="minorEastAsia" w:eastAsiaTheme="minorEastAsia" w:hAnsiTheme="minorEastAsia" w:cs="宋体" w:hint="eastAsia"/>
        </w:rPr>
        <w:t>目前可年产新能源用薄膜</w:t>
      </w:r>
      <w:r w:rsidRPr="004D043D">
        <w:rPr>
          <w:rFonts w:asciiTheme="minorEastAsia" w:eastAsiaTheme="minorEastAsia" w:hAnsiTheme="minorEastAsia" w:cs="宋体" w:hint="eastAsia"/>
          <w:color w:val="000000" w:themeColor="text1"/>
        </w:rPr>
        <w:t>约1200吨</w:t>
      </w:r>
      <w:r w:rsidR="009A57D8">
        <w:rPr>
          <w:rFonts w:asciiTheme="minorEastAsia" w:eastAsiaTheme="minorEastAsia" w:hAnsiTheme="minorEastAsia" w:cs="宋体" w:hint="eastAsia"/>
          <w:color w:val="000000" w:themeColor="text1"/>
        </w:rPr>
        <w:t>，项目未达到设计产能</w:t>
      </w:r>
      <w:r w:rsidR="00813F6F">
        <w:rPr>
          <w:rFonts w:asciiTheme="minorEastAsia" w:eastAsiaTheme="minorEastAsia" w:hAnsiTheme="minorEastAsia" w:cs="宋体" w:hint="eastAsia"/>
        </w:rPr>
        <w:t>。</w:t>
      </w:r>
      <w:r w:rsidR="009A57D8">
        <w:rPr>
          <w:rFonts w:asciiTheme="minorEastAsia" w:eastAsiaTheme="minorEastAsia" w:hAnsiTheme="minorEastAsia" w:cs="宋体" w:hint="eastAsia"/>
        </w:rPr>
        <w:t>项目</w:t>
      </w:r>
      <w:r w:rsidR="003E63FC">
        <w:rPr>
          <w:rFonts w:asciiTheme="minorEastAsia" w:eastAsiaTheme="minorEastAsia" w:hAnsiTheme="minorEastAsia" w:cs="宋体" w:hint="eastAsia"/>
        </w:rPr>
        <w:t>首条</w:t>
      </w:r>
      <w:r w:rsidR="00813F6F">
        <w:rPr>
          <w:rFonts w:asciiTheme="minorEastAsia" w:eastAsiaTheme="minorEastAsia" w:hAnsiTheme="minorEastAsia" w:cs="宋体" w:hint="eastAsia"/>
        </w:rPr>
        <w:t>生产</w:t>
      </w:r>
      <w:r w:rsidR="00706F43">
        <w:rPr>
          <w:rFonts w:asciiTheme="minorEastAsia" w:eastAsiaTheme="minorEastAsia" w:hAnsiTheme="minorEastAsia" w:cs="宋体" w:hint="eastAsia"/>
        </w:rPr>
        <w:t>线投产后，由于下游</w:t>
      </w:r>
      <w:r w:rsidR="00F47C64">
        <w:rPr>
          <w:rFonts w:asciiTheme="minorEastAsia" w:eastAsiaTheme="minorEastAsia" w:hAnsiTheme="minorEastAsia" w:cs="宋体" w:hint="eastAsia"/>
        </w:rPr>
        <w:t>新能源用薄膜</w:t>
      </w:r>
      <w:r w:rsidR="00706F43">
        <w:rPr>
          <w:rFonts w:asciiTheme="minorEastAsia" w:eastAsiaTheme="minorEastAsia" w:hAnsiTheme="minorEastAsia" w:cs="宋体" w:hint="eastAsia"/>
        </w:rPr>
        <w:t>市场低于预期，</w:t>
      </w:r>
      <w:r w:rsidR="003E63FC">
        <w:rPr>
          <w:rFonts w:asciiTheme="minorEastAsia" w:eastAsiaTheme="minorEastAsia" w:hAnsiTheme="minorEastAsia" w:cs="宋体" w:hint="eastAsia"/>
        </w:rPr>
        <w:t>只能</w:t>
      </w:r>
      <w:r w:rsidR="00706F43">
        <w:rPr>
          <w:rFonts w:asciiTheme="minorEastAsia" w:eastAsiaTheme="minorEastAsia" w:hAnsiTheme="minorEastAsia" w:cs="宋体" w:hint="eastAsia"/>
        </w:rPr>
        <w:t>间隙生产普通</w:t>
      </w:r>
      <w:r w:rsidR="00813F6F">
        <w:rPr>
          <w:rFonts w:asciiTheme="minorEastAsia" w:eastAsiaTheme="minorEastAsia" w:hAnsiTheme="minorEastAsia" w:cs="宋体" w:hint="eastAsia"/>
        </w:rPr>
        <w:t>规格</w:t>
      </w:r>
      <w:r w:rsidR="00706F43">
        <w:rPr>
          <w:rFonts w:asciiTheme="minorEastAsia" w:eastAsiaTheme="minorEastAsia" w:hAnsiTheme="minorEastAsia" w:cs="宋体" w:hint="eastAsia"/>
        </w:rPr>
        <w:t>薄膜，</w:t>
      </w:r>
      <w:r w:rsidR="00472042">
        <w:rPr>
          <w:rFonts w:asciiTheme="minorEastAsia" w:eastAsiaTheme="minorEastAsia" w:hAnsiTheme="minorEastAsia" w:cs="宋体" w:hint="eastAsia"/>
        </w:rPr>
        <w:t>设备利用效率低，</w:t>
      </w:r>
      <w:r w:rsidR="003E63FC">
        <w:rPr>
          <w:rFonts w:asciiTheme="minorEastAsia" w:eastAsiaTheme="minorEastAsia" w:hAnsiTheme="minorEastAsia" w:cs="宋体" w:hint="eastAsia"/>
        </w:rPr>
        <w:t>优势未能充分发挥</w:t>
      </w:r>
      <w:r w:rsidR="00706F43">
        <w:rPr>
          <w:rFonts w:asciiTheme="minorEastAsia" w:eastAsiaTheme="minorEastAsia" w:hAnsiTheme="minorEastAsia" w:cs="宋体" w:hint="eastAsia"/>
        </w:rPr>
        <w:t>。</w:t>
      </w:r>
    </w:p>
    <w:p w:rsidR="007534CC" w:rsidRPr="00CA2ED5" w:rsidRDefault="007534CC" w:rsidP="009A0CC9">
      <w:pPr>
        <w:pStyle w:val="Default"/>
        <w:snapToGrid w:val="0"/>
        <w:spacing w:line="348" w:lineRule="auto"/>
        <w:rPr>
          <w:rFonts w:asciiTheme="minorEastAsia" w:eastAsiaTheme="minorEastAsia" w:hAnsiTheme="minorEastAsia" w:cs="宋体"/>
        </w:rPr>
      </w:pPr>
      <w:r w:rsidRPr="00CA2ED5">
        <w:rPr>
          <w:rFonts w:asciiTheme="minorEastAsia" w:eastAsiaTheme="minorEastAsia" w:hAnsiTheme="minorEastAsia" w:cs="宋体" w:hint="eastAsia"/>
        </w:rPr>
        <w:t xml:space="preserve">    3、</w:t>
      </w:r>
      <w:r w:rsidR="000F2BC1">
        <w:rPr>
          <w:rFonts w:asciiTheme="minorEastAsia" w:eastAsiaTheme="minorEastAsia" w:hAnsiTheme="minorEastAsia" w:cs="宋体" w:hint="eastAsia"/>
        </w:rPr>
        <w:t>公司自身因素</w:t>
      </w:r>
      <w:r w:rsidR="005B164D">
        <w:rPr>
          <w:rFonts w:asciiTheme="minorEastAsia" w:eastAsiaTheme="minorEastAsia" w:hAnsiTheme="minorEastAsia" w:cs="宋体" w:hint="eastAsia"/>
        </w:rPr>
        <w:t>。</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公司原有四条薄膜</w:t>
      </w:r>
      <w:r w:rsidR="002A7437" w:rsidRPr="00CA2ED5">
        <w:rPr>
          <w:rFonts w:asciiTheme="minorEastAsia" w:eastAsiaTheme="minorEastAsia" w:hAnsiTheme="minorEastAsia" w:cs="宋体" w:hint="eastAsia"/>
        </w:rPr>
        <w:t>老</w:t>
      </w:r>
      <w:r w:rsidRPr="00CA2ED5">
        <w:rPr>
          <w:rFonts w:asciiTheme="minorEastAsia" w:eastAsiaTheme="minorEastAsia" w:hAnsiTheme="minorEastAsia" w:cs="宋体" w:hint="eastAsia"/>
        </w:rPr>
        <w:t>生产线运行年限较长，产品品质不稳定，造成了市场竞争力下滑，原有客户流失较多，公司近年来在行业内口碑下降，品牌影响力减小。虽然随着2016年公司薄膜老生产线搬迁改造工作的完成以及新建薄膜生产线的陆续投产，公司薄膜产品品质得到</w:t>
      </w:r>
      <w:r w:rsidR="00F15068">
        <w:rPr>
          <w:rFonts w:asciiTheme="minorEastAsia" w:eastAsiaTheme="minorEastAsia" w:hAnsiTheme="minorEastAsia" w:cs="宋体" w:hint="eastAsia"/>
        </w:rPr>
        <w:t>很大</w:t>
      </w:r>
      <w:r w:rsidRPr="00CA2ED5">
        <w:rPr>
          <w:rFonts w:asciiTheme="minorEastAsia" w:eastAsiaTheme="minorEastAsia" w:hAnsiTheme="minorEastAsia" w:cs="宋体" w:hint="eastAsia"/>
        </w:rPr>
        <w:t>提升，市场也在逐步恢复，但公司薄膜产品被市场全面认可还需要过程，新能源用薄膜客户的试验验证也需要一定的周期，这都影响了公司新产品的市场销售。加上新能源用薄膜生产线投产时间较</w:t>
      </w:r>
      <w:r w:rsidRPr="00CA2ED5">
        <w:rPr>
          <w:rFonts w:asciiTheme="minorEastAsia" w:eastAsiaTheme="minorEastAsia" w:hAnsiTheme="minorEastAsia" w:cs="宋体"/>
        </w:rPr>
        <w:t>短,</w:t>
      </w:r>
      <w:r w:rsidR="00F15068">
        <w:rPr>
          <w:rFonts w:asciiTheme="minorEastAsia" w:eastAsiaTheme="minorEastAsia" w:hAnsiTheme="minorEastAsia" w:cs="宋体" w:hint="eastAsia"/>
        </w:rPr>
        <w:t>超</w:t>
      </w:r>
      <w:r w:rsidRPr="00CA2ED5">
        <w:rPr>
          <w:rFonts w:asciiTheme="minorEastAsia" w:eastAsiaTheme="minorEastAsia" w:hAnsiTheme="minorEastAsia" w:cs="宋体" w:hint="eastAsia"/>
        </w:rPr>
        <w:t>薄型膜的生产工艺较普通膜更为复杂，</w:t>
      </w:r>
      <w:r w:rsidRPr="00CA2ED5">
        <w:rPr>
          <w:rFonts w:asciiTheme="minorEastAsia" w:eastAsiaTheme="minorEastAsia" w:hAnsiTheme="minorEastAsia" w:cs="宋体"/>
        </w:rPr>
        <w:t>需要一定周期的磨合改进等，对</w:t>
      </w:r>
      <w:r w:rsidRPr="00CA2ED5">
        <w:rPr>
          <w:rFonts w:asciiTheme="minorEastAsia" w:eastAsiaTheme="minorEastAsia" w:hAnsiTheme="minorEastAsia" w:cs="宋体" w:hint="eastAsia"/>
        </w:rPr>
        <w:t>项目的</w:t>
      </w:r>
      <w:r w:rsidRPr="00CA2ED5">
        <w:rPr>
          <w:rFonts w:asciiTheme="minorEastAsia" w:eastAsiaTheme="minorEastAsia" w:hAnsiTheme="minorEastAsia" w:cs="宋体"/>
        </w:rPr>
        <w:t>成品率、生产成本等</w:t>
      </w:r>
      <w:r w:rsidRPr="00CA2ED5">
        <w:rPr>
          <w:rFonts w:asciiTheme="minorEastAsia" w:eastAsiaTheme="minorEastAsia" w:hAnsiTheme="minorEastAsia" w:cs="宋体" w:hint="eastAsia"/>
        </w:rPr>
        <w:t>也</w:t>
      </w:r>
      <w:r w:rsidRPr="00CA2ED5">
        <w:rPr>
          <w:rFonts w:asciiTheme="minorEastAsia" w:eastAsiaTheme="minorEastAsia" w:hAnsiTheme="minorEastAsia" w:cs="宋体"/>
        </w:rPr>
        <w:t>造成</w:t>
      </w:r>
      <w:r w:rsidRPr="00CA2ED5">
        <w:rPr>
          <w:rFonts w:asciiTheme="minorEastAsia" w:eastAsiaTheme="minorEastAsia" w:hAnsiTheme="minorEastAsia" w:cs="宋体" w:hint="eastAsia"/>
        </w:rPr>
        <w:t>了一定</w:t>
      </w:r>
      <w:r w:rsidRPr="00CA2ED5">
        <w:rPr>
          <w:rFonts w:asciiTheme="minorEastAsia" w:eastAsiaTheme="minorEastAsia" w:hAnsiTheme="minorEastAsia" w:cs="宋体"/>
        </w:rPr>
        <w:t>影响</w:t>
      </w:r>
      <w:r w:rsidRPr="00CA2ED5">
        <w:rPr>
          <w:rFonts w:asciiTheme="minorEastAsia" w:eastAsiaTheme="minorEastAsia" w:hAnsiTheme="minorEastAsia" w:cs="宋体" w:hint="eastAsia"/>
        </w:rPr>
        <w:t>，</w:t>
      </w:r>
      <w:r w:rsidRPr="00CA2ED5">
        <w:rPr>
          <w:rFonts w:asciiTheme="minorEastAsia" w:eastAsiaTheme="minorEastAsia" w:hAnsiTheme="minorEastAsia" w:cs="宋体"/>
        </w:rPr>
        <w:t xml:space="preserve"> </w:t>
      </w:r>
    </w:p>
    <w:p w:rsidR="0075591A" w:rsidRPr="0075591A" w:rsidRDefault="007534CC" w:rsidP="009A0CC9">
      <w:pPr>
        <w:pStyle w:val="Default"/>
        <w:snapToGrid w:val="0"/>
        <w:spacing w:line="348" w:lineRule="auto"/>
        <w:jc w:val="both"/>
        <w:rPr>
          <w:rFonts w:asciiTheme="minorEastAsia" w:eastAsiaTheme="minorEastAsia" w:hAnsiTheme="minorEastAsia" w:cs="宋体"/>
          <w:b/>
        </w:rPr>
      </w:pPr>
      <w:r w:rsidRPr="004D043D">
        <w:rPr>
          <w:rFonts w:asciiTheme="minorEastAsia" w:eastAsiaTheme="minorEastAsia" w:hAnsiTheme="minorEastAsia" w:cs="宋体" w:hint="eastAsia"/>
          <w:b/>
        </w:rPr>
        <w:t xml:space="preserve">    </w:t>
      </w:r>
      <w:r w:rsidR="004D043D" w:rsidRPr="004D043D">
        <w:rPr>
          <w:rFonts w:asciiTheme="minorEastAsia" w:eastAsiaTheme="minorEastAsia" w:hAnsiTheme="minorEastAsia" w:cs="宋体" w:hint="eastAsia"/>
          <w:b/>
        </w:rPr>
        <w:t>答复</w:t>
      </w:r>
      <w:r w:rsidR="004D043D">
        <w:rPr>
          <w:rFonts w:asciiTheme="minorEastAsia" w:eastAsiaTheme="minorEastAsia" w:hAnsiTheme="minorEastAsia" w:cs="宋体" w:hint="eastAsia"/>
          <w:b/>
        </w:rPr>
        <w:t>：</w:t>
      </w:r>
      <w:r w:rsidRPr="004D043D">
        <w:rPr>
          <w:rFonts w:asciiTheme="minorEastAsia" w:eastAsiaTheme="minorEastAsia" w:hAnsiTheme="minorEastAsia" w:cs="宋体" w:hint="eastAsia"/>
          <w:b/>
        </w:rPr>
        <w:t>（二）公司</w:t>
      </w:r>
      <w:r w:rsidRPr="004D043D">
        <w:rPr>
          <w:rFonts w:asciiTheme="minorEastAsia" w:eastAsiaTheme="minorEastAsia" w:hAnsiTheme="minorEastAsia" w:cs="宋体"/>
          <w:b/>
        </w:rPr>
        <w:t>2016</w:t>
      </w:r>
      <w:r w:rsidRPr="004D043D">
        <w:rPr>
          <w:rFonts w:asciiTheme="minorEastAsia" w:eastAsiaTheme="minorEastAsia" w:hAnsiTheme="minorEastAsia" w:cs="宋体" w:hint="eastAsia"/>
          <w:b/>
        </w:rPr>
        <w:t>年未继续投入的原因，以及后续是否将继续投入，并请充分提示相关风险。</w:t>
      </w:r>
      <w:r w:rsidR="0075591A" w:rsidRPr="0075591A">
        <w:rPr>
          <w:rFonts w:asciiTheme="minorEastAsia" w:eastAsiaTheme="minorEastAsia" w:hAnsiTheme="minorEastAsia" w:cs="宋体" w:hint="eastAsia"/>
          <w:b/>
        </w:rPr>
        <w:t>若相关募集资金已有其他用途安排的，请充分披露后续使用计划。</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近几年由于全球经济增速放缓、市场竞争加剧，薄膜行业下游需求减少，行业总体产能过剩。新能源用薄膜市场虽然</w:t>
      </w:r>
      <w:r w:rsidR="00D94D2F">
        <w:rPr>
          <w:rFonts w:asciiTheme="minorEastAsia" w:eastAsiaTheme="minorEastAsia" w:hAnsiTheme="minorEastAsia" w:cs="宋体" w:hint="eastAsia"/>
        </w:rPr>
        <w:t>近年</w:t>
      </w:r>
      <w:r w:rsidRPr="00CA2ED5">
        <w:rPr>
          <w:rFonts w:asciiTheme="minorEastAsia" w:eastAsiaTheme="minorEastAsia" w:hAnsiTheme="minorEastAsia" w:cs="宋体" w:hint="eastAsia"/>
        </w:rPr>
        <w:t>增长较快，但</w:t>
      </w:r>
      <w:r w:rsidRPr="00CA2ED5">
        <w:rPr>
          <w:rFonts w:asciiTheme="minorEastAsia" w:eastAsiaTheme="minorEastAsia" w:hAnsiTheme="minorEastAsia" w:cs="宋体"/>
        </w:rPr>
        <w:t>行业</w:t>
      </w:r>
      <w:r w:rsidRPr="00CA2ED5">
        <w:rPr>
          <w:rFonts w:asciiTheme="minorEastAsia" w:eastAsiaTheme="minorEastAsia" w:hAnsiTheme="minorEastAsia" w:cs="宋体" w:hint="eastAsia"/>
        </w:rPr>
        <w:t>的发展</w:t>
      </w:r>
      <w:r w:rsidR="00D94D2F">
        <w:rPr>
          <w:rFonts w:asciiTheme="minorEastAsia" w:eastAsiaTheme="minorEastAsia" w:hAnsiTheme="minorEastAsia" w:cs="宋体"/>
        </w:rPr>
        <w:t>受国家政策</w:t>
      </w:r>
      <w:r w:rsidRPr="00CA2ED5">
        <w:rPr>
          <w:rFonts w:asciiTheme="minorEastAsia" w:eastAsiaTheme="minorEastAsia" w:hAnsiTheme="minorEastAsia" w:cs="宋体"/>
        </w:rPr>
        <w:t>影响</w:t>
      </w:r>
      <w:r w:rsidRPr="00CA2ED5">
        <w:rPr>
          <w:rFonts w:asciiTheme="minorEastAsia" w:eastAsiaTheme="minorEastAsia" w:hAnsiTheme="minorEastAsia" w:cs="宋体" w:hint="eastAsia"/>
        </w:rPr>
        <w:t>明显，市场空间还未完全打开</w:t>
      </w:r>
      <w:r w:rsidR="00F34FD1">
        <w:rPr>
          <w:rFonts w:asciiTheme="minorEastAsia" w:eastAsiaTheme="minorEastAsia" w:hAnsiTheme="minorEastAsia" w:cs="宋体" w:hint="eastAsia"/>
        </w:rPr>
        <w:t>。国内薄膜</w:t>
      </w:r>
      <w:r w:rsidR="00F31F01">
        <w:rPr>
          <w:rFonts w:asciiTheme="minorEastAsia" w:eastAsiaTheme="minorEastAsia" w:hAnsiTheme="minorEastAsia" w:cs="宋体" w:hint="eastAsia"/>
        </w:rPr>
        <w:t>产品</w:t>
      </w:r>
      <w:r w:rsidR="00F50EC5">
        <w:rPr>
          <w:rFonts w:asciiTheme="minorEastAsia" w:eastAsiaTheme="minorEastAsia" w:hAnsiTheme="minorEastAsia" w:cs="宋体" w:hint="eastAsia"/>
        </w:rPr>
        <w:t>特别是新能源用</w:t>
      </w:r>
      <w:r w:rsidR="00F50EC5" w:rsidRPr="00CA2ED5">
        <w:rPr>
          <w:rFonts w:asciiTheme="minorEastAsia" w:eastAsiaTheme="minorEastAsia" w:hAnsiTheme="minorEastAsia" w:cs="宋体" w:hint="eastAsia"/>
        </w:rPr>
        <w:t>超薄型膜</w:t>
      </w:r>
      <w:r w:rsidR="00F34FD1">
        <w:rPr>
          <w:rFonts w:asciiTheme="minorEastAsia" w:eastAsiaTheme="minorEastAsia" w:hAnsiTheme="minorEastAsia" w:cs="宋体" w:hint="eastAsia"/>
        </w:rPr>
        <w:t>与国外</w:t>
      </w:r>
      <w:r w:rsidR="008C5FF5">
        <w:rPr>
          <w:rFonts w:asciiTheme="minorEastAsia" w:eastAsiaTheme="minorEastAsia" w:hAnsiTheme="minorEastAsia" w:cs="宋体" w:hint="eastAsia"/>
        </w:rPr>
        <w:t>产品</w:t>
      </w:r>
      <w:r w:rsidR="00F34FD1">
        <w:rPr>
          <w:rFonts w:asciiTheme="minorEastAsia" w:eastAsiaTheme="minorEastAsia" w:hAnsiTheme="minorEastAsia" w:cs="宋体" w:hint="eastAsia"/>
        </w:rPr>
        <w:t>在技术、质量</w:t>
      </w:r>
      <w:r w:rsidR="00F31F01">
        <w:rPr>
          <w:rFonts w:asciiTheme="minorEastAsia" w:eastAsiaTheme="minorEastAsia" w:hAnsiTheme="minorEastAsia" w:cs="宋体" w:hint="eastAsia"/>
        </w:rPr>
        <w:t>、品牌</w:t>
      </w:r>
      <w:r w:rsidR="0095112D">
        <w:rPr>
          <w:rFonts w:asciiTheme="minorEastAsia" w:eastAsiaTheme="minorEastAsia" w:hAnsiTheme="minorEastAsia" w:cs="宋体" w:hint="eastAsia"/>
        </w:rPr>
        <w:t>等方面</w:t>
      </w:r>
      <w:r w:rsidR="00F34FD1">
        <w:rPr>
          <w:rFonts w:asciiTheme="minorEastAsia" w:eastAsiaTheme="minorEastAsia" w:hAnsiTheme="minorEastAsia" w:cs="宋体" w:hint="eastAsia"/>
        </w:rPr>
        <w:t>仍有</w:t>
      </w:r>
      <w:r w:rsidR="008C5FF5">
        <w:rPr>
          <w:rFonts w:asciiTheme="minorEastAsia" w:eastAsiaTheme="minorEastAsia" w:hAnsiTheme="minorEastAsia" w:cs="宋体" w:hint="eastAsia"/>
        </w:rPr>
        <w:t>一定</w:t>
      </w:r>
      <w:r w:rsidR="00F34FD1">
        <w:rPr>
          <w:rFonts w:asciiTheme="minorEastAsia" w:eastAsiaTheme="minorEastAsia" w:hAnsiTheme="minorEastAsia" w:cs="宋体" w:hint="eastAsia"/>
        </w:rPr>
        <w:t>差距，</w:t>
      </w:r>
      <w:r w:rsidR="00F31F01">
        <w:rPr>
          <w:rFonts w:asciiTheme="minorEastAsia" w:eastAsiaTheme="minorEastAsia" w:hAnsiTheme="minorEastAsia" w:cs="宋体" w:hint="eastAsia"/>
        </w:rPr>
        <w:t>目前</w:t>
      </w:r>
      <w:r w:rsidR="00942780">
        <w:rPr>
          <w:rFonts w:asciiTheme="minorEastAsia" w:eastAsiaTheme="minorEastAsia" w:hAnsiTheme="minorEastAsia" w:cs="宋体" w:hint="eastAsia"/>
        </w:rPr>
        <w:t>市场</w:t>
      </w:r>
      <w:r w:rsidR="00F34FD1">
        <w:rPr>
          <w:rFonts w:asciiTheme="minorEastAsia" w:eastAsiaTheme="minorEastAsia" w:hAnsiTheme="minorEastAsia" w:cs="宋体" w:hint="eastAsia"/>
        </w:rPr>
        <w:t>对国外</w:t>
      </w:r>
      <w:r w:rsidR="004A5ABB">
        <w:rPr>
          <w:rFonts w:asciiTheme="minorEastAsia" w:eastAsiaTheme="minorEastAsia" w:hAnsiTheme="minorEastAsia" w:cs="宋体" w:hint="eastAsia"/>
        </w:rPr>
        <w:t>产品</w:t>
      </w:r>
      <w:r w:rsidR="00F34FD1">
        <w:rPr>
          <w:rFonts w:asciiTheme="minorEastAsia" w:eastAsiaTheme="minorEastAsia" w:hAnsiTheme="minorEastAsia" w:cs="宋体" w:hint="eastAsia"/>
        </w:rPr>
        <w:t>的依赖</w:t>
      </w:r>
      <w:r w:rsidR="00F31F01">
        <w:rPr>
          <w:rFonts w:asciiTheme="minorEastAsia" w:eastAsiaTheme="minorEastAsia" w:hAnsiTheme="minorEastAsia" w:cs="宋体" w:hint="eastAsia"/>
        </w:rPr>
        <w:lastRenderedPageBreak/>
        <w:t>性</w:t>
      </w:r>
      <w:r w:rsidR="00F34FD1">
        <w:rPr>
          <w:rFonts w:asciiTheme="minorEastAsia" w:eastAsiaTheme="minorEastAsia" w:hAnsiTheme="minorEastAsia" w:cs="宋体" w:hint="eastAsia"/>
        </w:rPr>
        <w:t>还很强</w:t>
      </w:r>
      <w:r w:rsidRPr="00CA2ED5">
        <w:rPr>
          <w:rFonts w:asciiTheme="minorEastAsia" w:eastAsiaTheme="minorEastAsia" w:hAnsiTheme="minorEastAsia" w:cs="宋体" w:hint="eastAsia"/>
        </w:rPr>
        <w:t>。公司新能源用薄膜首条生产线建成投产后，市场销售情况不及预期，考虑到行业发展状况和公司实际情况，公司2016年没有将募集资金再继续投入项目，同时为</w:t>
      </w:r>
      <w:r w:rsidRPr="00CA2ED5">
        <w:rPr>
          <w:rFonts w:asciiTheme="minorEastAsia" w:eastAsiaTheme="minorEastAsia" w:hAnsiTheme="minorEastAsia" w:cs="宋体"/>
        </w:rPr>
        <w:t>提高募集资金使用效率，</w:t>
      </w:r>
      <w:r w:rsidRPr="00CA2ED5">
        <w:rPr>
          <w:rFonts w:asciiTheme="minorEastAsia" w:eastAsiaTheme="minorEastAsia" w:hAnsiTheme="minorEastAsia" w:cs="宋体" w:hint="eastAsia"/>
        </w:rPr>
        <w:t>经公司董事会、监事会审议通过，公司将部分闲置募集资金暂时用于补充流动资金，以</w:t>
      </w:r>
      <w:r w:rsidRPr="00CA2ED5">
        <w:rPr>
          <w:rFonts w:asciiTheme="minorEastAsia" w:eastAsiaTheme="minorEastAsia" w:hAnsiTheme="minorEastAsia" w:cs="宋体"/>
        </w:rPr>
        <w:t>减少</w:t>
      </w:r>
      <w:r w:rsidRPr="00CA2ED5">
        <w:rPr>
          <w:rFonts w:asciiTheme="minorEastAsia" w:eastAsiaTheme="minorEastAsia" w:hAnsiTheme="minorEastAsia" w:cs="宋体" w:hint="eastAsia"/>
        </w:rPr>
        <w:t>公司</w:t>
      </w:r>
      <w:r w:rsidRPr="00CA2ED5">
        <w:rPr>
          <w:rFonts w:asciiTheme="minorEastAsia" w:eastAsiaTheme="minorEastAsia" w:hAnsiTheme="minorEastAsia" w:cs="宋体"/>
        </w:rPr>
        <w:t>财务费用</w:t>
      </w:r>
      <w:r w:rsidRPr="00CA2ED5">
        <w:rPr>
          <w:rFonts w:asciiTheme="minorEastAsia" w:eastAsiaTheme="minorEastAsia" w:hAnsiTheme="minorEastAsia" w:cs="宋体" w:hint="eastAsia"/>
        </w:rPr>
        <w:t>，</w:t>
      </w:r>
      <w:r w:rsidRPr="00CA2ED5">
        <w:rPr>
          <w:rFonts w:asciiTheme="minorEastAsia" w:eastAsiaTheme="minorEastAsia" w:hAnsiTheme="minorEastAsia" w:cs="宋体"/>
        </w:rPr>
        <w:t>降低经营成本</w:t>
      </w:r>
      <w:r w:rsidRPr="00CA2ED5">
        <w:rPr>
          <w:rFonts w:asciiTheme="minorEastAsia" w:eastAsiaTheme="minorEastAsia" w:hAnsiTheme="minorEastAsia" w:cs="宋体" w:hint="eastAsia"/>
        </w:rPr>
        <w:t>。</w:t>
      </w:r>
    </w:p>
    <w:p w:rsidR="007534CC" w:rsidRPr="00CA2ED5"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从未来几年来看，随着国家对新能源汽车的财政补贴逐步减少，新能源汽车能否继续保持高速增长充满不确定性，风电、光伏行业的</w:t>
      </w:r>
      <w:r w:rsidRPr="00CA2ED5">
        <w:rPr>
          <w:rFonts w:asciiTheme="minorEastAsia" w:eastAsiaTheme="minorEastAsia" w:hAnsiTheme="minorEastAsia" w:cs="宋体"/>
        </w:rPr>
        <w:t>成本高与并网难仍旧困扰着产业的发展</w:t>
      </w:r>
      <w:r w:rsidRPr="00CA2ED5">
        <w:rPr>
          <w:rFonts w:asciiTheme="minorEastAsia" w:eastAsiaTheme="minorEastAsia" w:hAnsiTheme="minorEastAsia" w:cs="宋体" w:hint="eastAsia"/>
        </w:rPr>
        <w:t>。在薄膜行业整体产能过剩、新能源用薄膜下游市场需求尚未完全打开的情况下，本着谨慎性的原则,公司仍将暂缓继续投入新能源用薄膜材料项目。</w:t>
      </w:r>
      <w:r w:rsidR="00F1002B" w:rsidRPr="00F1002B">
        <w:rPr>
          <w:rFonts w:asciiTheme="minorEastAsia" w:eastAsiaTheme="minorEastAsia" w:hAnsiTheme="minorEastAsia" w:cs="宋体" w:hint="eastAsia"/>
        </w:rPr>
        <w:t>同时为提高公司募集资金使用效率，在剩余募集资金暂未继续投入项目前，仍将继续补充流动资金。</w:t>
      </w:r>
      <w:r w:rsidRPr="00CA2ED5">
        <w:rPr>
          <w:rFonts w:asciiTheme="minorEastAsia" w:eastAsiaTheme="minorEastAsia" w:hAnsiTheme="minorEastAsia" w:cs="宋体" w:hint="eastAsia"/>
        </w:rPr>
        <w:t>公司将以建成的首条生产线为基础，做好新生产线产品的品质控制，加大技术研发，加快市场开拓，逐步提升公司新能源用薄膜产品的市场占比，争取进口替代。</w:t>
      </w:r>
      <w:r w:rsidRPr="00F1002B">
        <w:rPr>
          <w:rFonts w:asciiTheme="minorEastAsia" w:eastAsiaTheme="minorEastAsia" w:hAnsiTheme="minorEastAsia" w:cs="宋体" w:hint="eastAsia"/>
        </w:rPr>
        <w:t>未来公司将</w:t>
      </w:r>
      <w:r w:rsidRPr="00CA2ED5">
        <w:rPr>
          <w:rFonts w:asciiTheme="minorEastAsia" w:eastAsiaTheme="minorEastAsia" w:hAnsiTheme="minorEastAsia" w:cs="宋体" w:hint="eastAsia"/>
        </w:rPr>
        <w:t>结合市场形势，</w:t>
      </w:r>
      <w:r w:rsidRPr="00F1002B">
        <w:rPr>
          <w:rFonts w:asciiTheme="minorEastAsia" w:eastAsiaTheme="minorEastAsia" w:hAnsiTheme="minorEastAsia" w:cs="宋体" w:hint="eastAsia"/>
        </w:rPr>
        <w:t>根据实际情况和发展需要，</w:t>
      </w:r>
      <w:r w:rsidRPr="00CA2ED5">
        <w:rPr>
          <w:rFonts w:asciiTheme="minorEastAsia" w:eastAsiaTheme="minorEastAsia" w:hAnsiTheme="minorEastAsia" w:cs="宋体" w:hint="eastAsia"/>
        </w:rPr>
        <w:t>再行决定后续投资的实施进度。</w:t>
      </w:r>
    </w:p>
    <w:p w:rsidR="007534CC" w:rsidRDefault="007534CC" w:rsidP="009A0CC9">
      <w:pPr>
        <w:pStyle w:val="Default"/>
        <w:snapToGrid w:val="0"/>
        <w:spacing w:line="348" w:lineRule="auto"/>
        <w:jc w:val="both"/>
        <w:rPr>
          <w:rFonts w:asciiTheme="minorEastAsia" w:eastAsiaTheme="minorEastAsia" w:hAnsiTheme="minorEastAsia" w:cs="宋体"/>
        </w:rPr>
      </w:pPr>
      <w:r w:rsidRPr="00CA2ED5">
        <w:rPr>
          <w:rFonts w:asciiTheme="minorEastAsia" w:eastAsiaTheme="minorEastAsia" w:hAnsiTheme="minorEastAsia" w:cs="宋体" w:hint="eastAsia"/>
        </w:rPr>
        <w:t xml:space="preserve">    公司将严格按照</w:t>
      </w:r>
      <w:r w:rsidRPr="00CA2ED5">
        <w:rPr>
          <w:rFonts w:asciiTheme="minorEastAsia" w:eastAsiaTheme="minorEastAsia" w:hAnsiTheme="minorEastAsia" w:cs="宋体"/>
        </w:rPr>
        <w:t>《公司法》、《证券法》、《上海证券交易所上市规则</w:t>
      </w:r>
      <w:r w:rsidRPr="00CA2ED5">
        <w:rPr>
          <w:rFonts w:asciiTheme="minorEastAsia" w:eastAsiaTheme="minorEastAsia" w:hAnsiTheme="minorEastAsia" w:cs="宋体" w:hint="eastAsia"/>
        </w:rPr>
        <w:t>》、《公司募集资金管理办法》等相关规定，做好募集资金的使用与管理，提高募集资金使用效益，公司对募集资金的使用安排都</w:t>
      </w:r>
      <w:r w:rsidRPr="00CA2ED5">
        <w:rPr>
          <w:rFonts w:asciiTheme="minorEastAsia" w:eastAsiaTheme="minorEastAsia" w:hAnsiTheme="minorEastAsia" w:cs="宋体"/>
        </w:rPr>
        <w:t>将根据</w:t>
      </w:r>
      <w:r w:rsidRPr="00CA2ED5">
        <w:rPr>
          <w:rFonts w:asciiTheme="minorEastAsia" w:eastAsiaTheme="minorEastAsia" w:hAnsiTheme="minorEastAsia" w:cs="宋体" w:hint="eastAsia"/>
        </w:rPr>
        <w:t>相关</w:t>
      </w:r>
      <w:r w:rsidRPr="00CA2ED5">
        <w:rPr>
          <w:rFonts w:asciiTheme="minorEastAsia" w:eastAsiaTheme="minorEastAsia" w:hAnsiTheme="minorEastAsia" w:cs="宋体"/>
        </w:rPr>
        <w:t>要求,提交董事会</w:t>
      </w:r>
      <w:r w:rsidRPr="00CA2ED5">
        <w:rPr>
          <w:rFonts w:asciiTheme="minorEastAsia" w:eastAsiaTheme="minorEastAsia" w:hAnsiTheme="minorEastAsia" w:cs="宋体" w:hint="eastAsia"/>
        </w:rPr>
        <w:t>或</w:t>
      </w:r>
      <w:r w:rsidRPr="00CA2ED5">
        <w:rPr>
          <w:rFonts w:asciiTheme="minorEastAsia" w:eastAsiaTheme="minorEastAsia" w:hAnsiTheme="minorEastAsia" w:cs="宋体"/>
        </w:rPr>
        <w:t>股东会审议</w:t>
      </w:r>
      <w:r w:rsidR="00CA2ED5">
        <w:rPr>
          <w:rFonts w:asciiTheme="minorEastAsia" w:eastAsiaTheme="minorEastAsia" w:hAnsiTheme="minorEastAsia" w:cs="宋体" w:hint="eastAsia"/>
        </w:rPr>
        <w:t>决定，敬请广大投资者及时关注公司相关公告，注意投资风险。</w:t>
      </w:r>
    </w:p>
    <w:p w:rsidR="00CA2ED5" w:rsidRPr="00CA2ED5" w:rsidRDefault="00CA2ED5" w:rsidP="009A0CC9">
      <w:pPr>
        <w:pStyle w:val="Default"/>
        <w:snapToGrid w:val="0"/>
        <w:spacing w:line="348" w:lineRule="auto"/>
        <w:jc w:val="both"/>
        <w:rPr>
          <w:rFonts w:asciiTheme="minorEastAsia" w:eastAsiaTheme="minorEastAsia" w:hAnsiTheme="minorEastAsia" w:cs="宋体"/>
        </w:rPr>
      </w:pPr>
      <w:r>
        <w:rPr>
          <w:rFonts w:asciiTheme="minorEastAsia" w:eastAsiaTheme="minorEastAsia" w:hAnsiTheme="minorEastAsia" w:cs="宋体" w:hint="eastAsia"/>
        </w:rPr>
        <w:t xml:space="preserve">    特此公告。</w:t>
      </w:r>
    </w:p>
    <w:p w:rsidR="000652AB" w:rsidRDefault="000652AB" w:rsidP="009A0CC9">
      <w:pPr>
        <w:pStyle w:val="Default"/>
        <w:snapToGrid w:val="0"/>
        <w:spacing w:line="348" w:lineRule="auto"/>
        <w:rPr>
          <w:rFonts w:asciiTheme="minorEastAsia" w:eastAsiaTheme="minorEastAsia" w:hAnsiTheme="minorEastAsia" w:cs="宋体"/>
        </w:rPr>
      </w:pPr>
    </w:p>
    <w:p w:rsidR="006F0D0A" w:rsidRDefault="006F0D0A" w:rsidP="009A0CC9">
      <w:pPr>
        <w:pStyle w:val="Default"/>
        <w:snapToGrid w:val="0"/>
        <w:spacing w:line="348" w:lineRule="auto"/>
        <w:rPr>
          <w:rFonts w:asciiTheme="minorEastAsia" w:eastAsiaTheme="minorEastAsia" w:hAnsiTheme="minorEastAsia" w:cs="宋体"/>
        </w:rPr>
      </w:pPr>
    </w:p>
    <w:p w:rsidR="006F0D0A" w:rsidRPr="002664D8" w:rsidRDefault="006F0D0A" w:rsidP="009A0CC9">
      <w:pPr>
        <w:pStyle w:val="Default"/>
        <w:snapToGrid w:val="0"/>
        <w:spacing w:line="348" w:lineRule="auto"/>
        <w:rPr>
          <w:rFonts w:asciiTheme="minorEastAsia" w:eastAsiaTheme="minorEastAsia" w:hAnsiTheme="minorEastAsia" w:cs="宋体"/>
        </w:rPr>
      </w:pPr>
    </w:p>
    <w:p w:rsidR="000652AB" w:rsidRPr="002664D8" w:rsidRDefault="000652AB" w:rsidP="009A0CC9">
      <w:pPr>
        <w:pStyle w:val="Default"/>
        <w:snapToGrid w:val="0"/>
        <w:spacing w:line="348" w:lineRule="auto"/>
        <w:rPr>
          <w:rFonts w:asciiTheme="minorEastAsia" w:eastAsiaTheme="minorEastAsia" w:hAnsiTheme="minorEastAsia" w:cs="宋体"/>
        </w:rPr>
      </w:pPr>
      <w:r w:rsidRPr="002664D8">
        <w:rPr>
          <w:rFonts w:asciiTheme="minorEastAsia" w:eastAsiaTheme="minorEastAsia" w:hAnsiTheme="minorEastAsia" w:cs="宋体" w:hint="eastAsia"/>
        </w:rPr>
        <w:t xml:space="preserve">                                     安徽铜峰电子股份有限公司董事会</w:t>
      </w:r>
      <w:r w:rsidRPr="002664D8">
        <w:rPr>
          <w:rFonts w:asciiTheme="minorEastAsia" w:eastAsiaTheme="minorEastAsia" w:hAnsiTheme="minorEastAsia" w:cs="宋体"/>
        </w:rPr>
        <w:t xml:space="preserve"> </w:t>
      </w:r>
    </w:p>
    <w:p w:rsidR="004678BC" w:rsidRDefault="000652AB" w:rsidP="009A0CC9">
      <w:pPr>
        <w:pStyle w:val="Default"/>
        <w:snapToGrid w:val="0"/>
        <w:spacing w:line="348" w:lineRule="auto"/>
      </w:pPr>
      <w:r w:rsidRPr="002664D8">
        <w:rPr>
          <w:rFonts w:asciiTheme="minorEastAsia" w:eastAsiaTheme="minorEastAsia" w:hAnsiTheme="minorEastAsia" w:cs="宋体" w:hint="eastAsia"/>
        </w:rPr>
        <w:t xml:space="preserve">                                                </w:t>
      </w:r>
      <w:r w:rsidRPr="002664D8">
        <w:rPr>
          <w:rFonts w:asciiTheme="minorEastAsia" w:eastAsiaTheme="minorEastAsia" w:hAnsiTheme="minorEastAsia" w:cs="宋体"/>
        </w:rPr>
        <w:t>2017</w:t>
      </w:r>
      <w:r w:rsidRPr="002664D8">
        <w:rPr>
          <w:rFonts w:asciiTheme="minorEastAsia" w:eastAsiaTheme="minorEastAsia" w:hAnsiTheme="minorEastAsia" w:cs="宋体" w:hint="eastAsia"/>
        </w:rPr>
        <w:t>年5月</w:t>
      </w:r>
      <w:r w:rsidR="0052039C">
        <w:rPr>
          <w:rFonts w:asciiTheme="minorEastAsia" w:eastAsiaTheme="minorEastAsia" w:hAnsiTheme="minorEastAsia" w:cs="宋体" w:hint="eastAsia"/>
        </w:rPr>
        <w:t>25</w:t>
      </w:r>
      <w:r w:rsidRPr="002664D8">
        <w:rPr>
          <w:rFonts w:asciiTheme="minorEastAsia" w:eastAsiaTheme="minorEastAsia" w:hAnsiTheme="minorEastAsia" w:cs="宋体" w:hint="eastAsia"/>
        </w:rPr>
        <w:t>日</w:t>
      </w:r>
    </w:p>
    <w:sectPr w:rsidR="004678BC" w:rsidSect="009315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710" w:rsidRDefault="003F3710" w:rsidP="000652AB">
      <w:r>
        <w:separator/>
      </w:r>
    </w:p>
  </w:endnote>
  <w:endnote w:type="continuationSeparator" w:id="1">
    <w:p w:rsidR="003F3710" w:rsidRDefault="003F3710" w:rsidP="00065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130"/>
      <w:docPartObj>
        <w:docPartGallery w:val="Page Numbers (Bottom of Page)"/>
        <w:docPartUnique/>
      </w:docPartObj>
    </w:sdtPr>
    <w:sdtContent>
      <w:p w:rsidR="003F3710" w:rsidRDefault="003A3ECD">
        <w:pPr>
          <w:pStyle w:val="a4"/>
          <w:jc w:val="center"/>
        </w:pPr>
        <w:fldSimple w:instr=" PAGE   \* MERGEFORMAT ">
          <w:r w:rsidR="003D7536" w:rsidRPr="003D7536">
            <w:rPr>
              <w:noProof/>
              <w:lang w:val="zh-CN"/>
            </w:rPr>
            <w:t>11</w:t>
          </w:r>
        </w:fldSimple>
      </w:p>
    </w:sdtContent>
  </w:sdt>
  <w:p w:rsidR="003F3710" w:rsidRDefault="003F37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710" w:rsidRDefault="003F3710" w:rsidP="000652AB">
      <w:r>
        <w:separator/>
      </w:r>
    </w:p>
  </w:footnote>
  <w:footnote w:type="continuationSeparator" w:id="1">
    <w:p w:rsidR="003F3710" w:rsidRDefault="003F3710" w:rsidP="00065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66E"/>
    <w:multiLevelType w:val="hybridMultilevel"/>
    <w:tmpl w:val="584E2C40"/>
    <w:lvl w:ilvl="0" w:tplc="B8E6CE7E">
      <w:start w:val="1"/>
      <w:numFmt w:val="decimal"/>
      <w:lvlText w:val="(%1)"/>
      <w:lvlJc w:val="left"/>
      <w:pPr>
        <w:ind w:left="1230" w:hanging="7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63818BE"/>
    <w:multiLevelType w:val="hybridMultilevel"/>
    <w:tmpl w:val="CE785742"/>
    <w:lvl w:ilvl="0" w:tplc="8666A11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A73715"/>
    <w:multiLevelType w:val="hybridMultilevel"/>
    <w:tmpl w:val="7FB2314C"/>
    <w:lvl w:ilvl="0" w:tplc="77289F58">
      <w:start w:val="1"/>
      <w:numFmt w:val="decimal"/>
      <w:suff w:val="nothing"/>
      <w:lvlText w:val="（%1）"/>
      <w:lvlJc w:val="left"/>
      <w:pPr>
        <w:ind w:left="862" w:hanging="720"/>
      </w:pPr>
      <w:rPr>
        <w:rFonts w:hint="default"/>
        <w:lang w:val="en-US"/>
      </w:rPr>
    </w:lvl>
    <w:lvl w:ilvl="1" w:tplc="04090019" w:tentative="1">
      <w:start w:val="1"/>
      <w:numFmt w:val="lowerLetter"/>
      <w:lvlText w:val="%2)"/>
      <w:lvlJc w:val="left"/>
      <w:pPr>
        <w:ind w:left="1339" w:hanging="420"/>
      </w:pPr>
    </w:lvl>
    <w:lvl w:ilvl="2" w:tplc="0409001B" w:tentative="1">
      <w:start w:val="1"/>
      <w:numFmt w:val="lowerRoman"/>
      <w:lvlText w:val="%3."/>
      <w:lvlJc w:val="right"/>
      <w:pPr>
        <w:ind w:left="1759" w:hanging="420"/>
      </w:pPr>
    </w:lvl>
    <w:lvl w:ilvl="3" w:tplc="0409000F" w:tentative="1">
      <w:start w:val="1"/>
      <w:numFmt w:val="decimal"/>
      <w:lvlText w:val="%4."/>
      <w:lvlJc w:val="left"/>
      <w:pPr>
        <w:ind w:left="2179" w:hanging="420"/>
      </w:pPr>
    </w:lvl>
    <w:lvl w:ilvl="4" w:tplc="04090019" w:tentative="1">
      <w:start w:val="1"/>
      <w:numFmt w:val="lowerLetter"/>
      <w:lvlText w:val="%5)"/>
      <w:lvlJc w:val="left"/>
      <w:pPr>
        <w:ind w:left="2599" w:hanging="420"/>
      </w:pPr>
    </w:lvl>
    <w:lvl w:ilvl="5" w:tplc="0409001B" w:tentative="1">
      <w:start w:val="1"/>
      <w:numFmt w:val="lowerRoman"/>
      <w:lvlText w:val="%6."/>
      <w:lvlJc w:val="right"/>
      <w:pPr>
        <w:ind w:left="3019" w:hanging="420"/>
      </w:pPr>
    </w:lvl>
    <w:lvl w:ilvl="6" w:tplc="0409000F" w:tentative="1">
      <w:start w:val="1"/>
      <w:numFmt w:val="decimal"/>
      <w:lvlText w:val="%7."/>
      <w:lvlJc w:val="left"/>
      <w:pPr>
        <w:ind w:left="3439" w:hanging="420"/>
      </w:pPr>
    </w:lvl>
    <w:lvl w:ilvl="7" w:tplc="04090019" w:tentative="1">
      <w:start w:val="1"/>
      <w:numFmt w:val="lowerLetter"/>
      <w:lvlText w:val="%8)"/>
      <w:lvlJc w:val="left"/>
      <w:pPr>
        <w:ind w:left="3859" w:hanging="420"/>
      </w:pPr>
    </w:lvl>
    <w:lvl w:ilvl="8" w:tplc="0409001B" w:tentative="1">
      <w:start w:val="1"/>
      <w:numFmt w:val="lowerRoman"/>
      <w:lvlText w:val="%9."/>
      <w:lvlJc w:val="right"/>
      <w:pPr>
        <w:ind w:left="4279" w:hanging="420"/>
      </w:pPr>
    </w:lvl>
  </w:abstractNum>
  <w:abstractNum w:abstractNumId="3">
    <w:nsid w:val="2B4666CB"/>
    <w:multiLevelType w:val="hybridMultilevel"/>
    <w:tmpl w:val="791472CC"/>
    <w:lvl w:ilvl="0" w:tplc="57801A40">
      <w:start w:val="1"/>
      <w:numFmt w:val="decimalEnclosedCircle"/>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2B7A1778"/>
    <w:multiLevelType w:val="hybridMultilevel"/>
    <w:tmpl w:val="87E29210"/>
    <w:lvl w:ilvl="0" w:tplc="777081DE">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421737D"/>
    <w:multiLevelType w:val="hybridMultilevel"/>
    <w:tmpl w:val="707EFA78"/>
    <w:lvl w:ilvl="0" w:tplc="465CB8F8">
      <w:start w:val="1"/>
      <w:numFmt w:val="decimalEnclosedCircle"/>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6">
    <w:nsid w:val="477B7561"/>
    <w:multiLevelType w:val="hybridMultilevel"/>
    <w:tmpl w:val="9490CC9C"/>
    <w:lvl w:ilvl="0" w:tplc="AD6CA2E4">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8B2261"/>
    <w:multiLevelType w:val="hybridMultilevel"/>
    <w:tmpl w:val="3AF2AB76"/>
    <w:lvl w:ilvl="0" w:tplc="68C6DC2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F85588D"/>
    <w:multiLevelType w:val="hybridMultilevel"/>
    <w:tmpl w:val="B9B85D8E"/>
    <w:lvl w:ilvl="0" w:tplc="4B44C6F8">
      <w:start w:val="1"/>
      <w:numFmt w:val="decimal"/>
      <w:suff w:val="nothing"/>
      <w:lvlText w:val="注%1、"/>
      <w:lvlJc w:val="left"/>
      <w:pPr>
        <w:ind w:left="72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0"/>
  </w:num>
  <w:num w:numId="3">
    <w:abstractNumId w:val="6"/>
  </w:num>
  <w:num w:numId="4">
    <w:abstractNumId w:val="7"/>
  </w:num>
  <w:num w:numId="5">
    <w:abstractNumId w:val="3"/>
  </w:num>
  <w:num w:numId="6">
    <w:abstractNumId w:val="8"/>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2AB"/>
    <w:rsid w:val="00003B4D"/>
    <w:rsid w:val="00020195"/>
    <w:rsid w:val="000454CC"/>
    <w:rsid w:val="00052D0F"/>
    <w:rsid w:val="000648F8"/>
    <w:rsid w:val="000652AB"/>
    <w:rsid w:val="00066400"/>
    <w:rsid w:val="000706D5"/>
    <w:rsid w:val="00085C65"/>
    <w:rsid w:val="00090E63"/>
    <w:rsid w:val="000962ED"/>
    <w:rsid w:val="000A0D5F"/>
    <w:rsid w:val="000A4544"/>
    <w:rsid w:val="000A4A50"/>
    <w:rsid w:val="000C0E41"/>
    <w:rsid w:val="000C2882"/>
    <w:rsid w:val="000C4E6C"/>
    <w:rsid w:val="000D5EC0"/>
    <w:rsid w:val="000E1E4D"/>
    <w:rsid w:val="000E20FE"/>
    <w:rsid w:val="000E29A8"/>
    <w:rsid w:val="000E41EE"/>
    <w:rsid w:val="000E6D02"/>
    <w:rsid w:val="000F2BC1"/>
    <w:rsid w:val="00106394"/>
    <w:rsid w:val="00115A8D"/>
    <w:rsid w:val="00123425"/>
    <w:rsid w:val="001339BA"/>
    <w:rsid w:val="00133BC4"/>
    <w:rsid w:val="00163B11"/>
    <w:rsid w:val="00180111"/>
    <w:rsid w:val="00187908"/>
    <w:rsid w:val="001A2ADD"/>
    <w:rsid w:val="001A3F0C"/>
    <w:rsid w:val="001A700F"/>
    <w:rsid w:val="001B00BF"/>
    <w:rsid w:val="001B48F5"/>
    <w:rsid w:val="001B6ED9"/>
    <w:rsid w:val="001C066A"/>
    <w:rsid w:val="001C7C87"/>
    <w:rsid w:val="001D37F8"/>
    <w:rsid w:val="001E275D"/>
    <w:rsid w:val="001E6E09"/>
    <w:rsid w:val="001E7D8A"/>
    <w:rsid w:val="00202884"/>
    <w:rsid w:val="00202A83"/>
    <w:rsid w:val="00213C34"/>
    <w:rsid w:val="00224A30"/>
    <w:rsid w:val="0023291C"/>
    <w:rsid w:val="0025124F"/>
    <w:rsid w:val="00255064"/>
    <w:rsid w:val="002604FD"/>
    <w:rsid w:val="00263F2F"/>
    <w:rsid w:val="00264147"/>
    <w:rsid w:val="0026525A"/>
    <w:rsid w:val="00265523"/>
    <w:rsid w:val="00267BE2"/>
    <w:rsid w:val="00280ECC"/>
    <w:rsid w:val="00281E48"/>
    <w:rsid w:val="00283ADC"/>
    <w:rsid w:val="002849CA"/>
    <w:rsid w:val="002879A5"/>
    <w:rsid w:val="002A6BB2"/>
    <w:rsid w:val="002A7437"/>
    <w:rsid w:val="002B0B30"/>
    <w:rsid w:val="002B4988"/>
    <w:rsid w:val="002D03AD"/>
    <w:rsid w:val="002D3C05"/>
    <w:rsid w:val="002D45D7"/>
    <w:rsid w:val="002D6B09"/>
    <w:rsid w:val="002D728A"/>
    <w:rsid w:val="002D7647"/>
    <w:rsid w:val="002E0E39"/>
    <w:rsid w:val="002E3CC6"/>
    <w:rsid w:val="002F0684"/>
    <w:rsid w:val="002F2F18"/>
    <w:rsid w:val="003067D9"/>
    <w:rsid w:val="003153DD"/>
    <w:rsid w:val="00321188"/>
    <w:rsid w:val="0032537C"/>
    <w:rsid w:val="0033682E"/>
    <w:rsid w:val="00336A3E"/>
    <w:rsid w:val="003420CE"/>
    <w:rsid w:val="003431CC"/>
    <w:rsid w:val="00361983"/>
    <w:rsid w:val="00363E03"/>
    <w:rsid w:val="003643E5"/>
    <w:rsid w:val="00366C58"/>
    <w:rsid w:val="00376E7D"/>
    <w:rsid w:val="003772CB"/>
    <w:rsid w:val="00383D6A"/>
    <w:rsid w:val="003A057A"/>
    <w:rsid w:val="003A1AF8"/>
    <w:rsid w:val="003A3ECD"/>
    <w:rsid w:val="003B7009"/>
    <w:rsid w:val="003B7246"/>
    <w:rsid w:val="003C2921"/>
    <w:rsid w:val="003C7679"/>
    <w:rsid w:val="003D3058"/>
    <w:rsid w:val="003D7536"/>
    <w:rsid w:val="003E07B3"/>
    <w:rsid w:val="003E63FC"/>
    <w:rsid w:val="003F3710"/>
    <w:rsid w:val="0040295F"/>
    <w:rsid w:val="00404F79"/>
    <w:rsid w:val="00425C15"/>
    <w:rsid w:val="00431DE2"/>
    <w:rsid w:val="00436731"/>
    <w:rsid w:val="004520C7"/>
    <w:rsid w:val="00461245"/>
    <w:rsid w:val="00461A74"/>
    <w:rsid w:val="004678BC"/>
    <w:rsid w:val="00472042"/>
    <w:rsid w:val="0049017F"/>
    <w:rsid w:val="00490A9E"/>
    <w:rsid w:val="004A0F71"/>
    <w:rsid w:val="004A5ABB"/>
    <w:rsid w:val="004B3D5E"/>
    <w:rsid w:val="004B50F7"/>
    <w:rsid w:val="004C01A6"/>
    <w:rsid w:val="004D043D"/>
    <w:rsid w:val="004E5707"/>
    <w:rsid w:val="004F3AB6"/>
    <w:rsid w:val="004F75C4"/>
    <w:rsid w:val="00501ABF"/>
    <w:rsid w:val="00505D6A"/>
    <w:rsid w:val="0052039C"/>
    <w:rsid w:val="00522DDC"/>
    <w:rsid w:val="00524FB6"/>
    <w:rsid w:val="00561974"/>
    <w:rsid w:val="00570367"/>
    <w:rsid w:val="0057148B"/>
    <w:rsid w:val="00571D3B"/>
    <w:rsid w:val="00575106"/>
    <w:rsid w:val="005778E9"/>
    <w:rsid w:val="00595300"/>
    <w:rsid w:val="005A1B36"/>
    <w:rsid w:val="005B103B"/>
    <w:rsid w:val="005B164D"/>
    <w:rsid w:val="005B52E0"/>
    <w:rsid w:val="005B7FB5"/>
    <w:rsid w:val="005C45D3"/>
    <w:rsid w:val="005D0EFD"/>
    <w:rsid w:val="005D10A7"/>
    <w:rsid w:val="005D3691"/>
    <w:rsid w:val="005E6C3E"/>
    <w:rsid w:val="00616631"/>
    <w:rsid w:val="0062138A"/>
    <w:rsid w:val="006272D5"/>
    <w:rsid w:val="006322A4"/>
    <w:rsid w:val="006357B4"/>
    <w:rsid w:val="00641BD6"/>
    <w:rsid w:val="00645561"/>
    <w:rsid w:val="0064769C"/>
    <w:rsid w:val="006504CB"/>
    <w:rsid w:val="0065146A"/>
    <w:rsid w:val="00651A4E"/>
    <w:rsid w:val="00654747"/>
    <w:rsid w:val="006551FA"/>
    <w:rsid w:val="00660D5F"/>
    <w:rsid w:val="0068753E"/>
    <w:rsid w:val="006A0A63"/>
    <w:rsid w:val="006C03AA"/>
    <w:rsid w:val="006C287D"/>
    <w:rsid w:val="006C77FA"/>
    <w:rsid w:val="006D3B4E"/>
    <w:rsid w:val="006E2817"/>
    <w:rsid w:val="006E4E9D"/>
    <w:rsid w:val="006F0D0A"/>
    <w:rsid w:val="006F657C"/>
    <w:rsid w:val="006F7030"/>
    <w:rsid w:val="006F7727"/>
    <w:rsid w:val="00702713"/>
    <w:rsid w:val="007044EB"/>
    <w:rsid w:val="00705094"/>
    <w:rsid w:val="00706F43"/>
    <w:rsid w:val="00713C6D"/>
    <w:rsid w:val="007161A9"/>
    <w:rsid w:val="00717C9C"/>
    <w:rsid w:val="007352E1"/>
    <w:rsid w:val="00741BCF"/>
    <w:rsid w:val="00746582"/>
    <w:rsid w:val="007534CC"/>
    <w:rsid w:val="0075591A"/>
    <w:rsid w:val="00762D30"/>
    <w:rsid w:val="0076770C"/>
    <w:rsid w:val="00772FC4"/>
    <w:rsid w:val="0078615C"/>
    <w:rsid w:val="007876BE"/>
    <w:rsid w:val="00797D97"/>
    <w:rsid w:val="007A079F"/>
    <w:rsid w:val="007A77A8"/>
    <w:rsid w:val="007A7A00"/>
    <w:rsid w:val="007B464F"/>
    <w:rsid w:val="007B4916"/>
    <w:rsid w:val="007C04FE"/>
    <w:rsid w:val="007C2B29"/>
    <w:rsid w:val="007C4EDA"/>
    <w:rsid w:val="007D77B1"/>
    <w:rsid w:val="0080358F"/>
    <w:rsid w:val="00813F6F"/>
    <w:rsid w:val="00815AC7"/>
    <w:rsid w:val="00822777"/>
    <w:rsid w:val="00826B2B"/>
    <w:rsid w:val="00830115"/>
    <w:rsid w:val="00832075"/>
    <w:rsid w:val="008407CC"/>
    <w:rsid w:val="00840A69"/>
    <w:rsid w:val="00844A9A"/>
    <w:rsid w:val="0084613E"/>
    <w:rsid w:val="008545A7"/>
    <w:rsid w:val="008567B1"/>
    <w:rsid w:val="00857C80"/>
    <w:rsid w:val="00860486"/>
    <w:rsid w:val="00861CF1"/>
    <w:rsid w:val="008638A5"/>
    <w:rsid w:val="008642BD"/>
    <w:rsid w:val="008644A5"/>
    <w:rsid w:val="00866489"/>
    <w:rsid w:val="00871B72"/>
    <w:rsid w:val="00873B2F"/>
    <w:rsid w:val="00876200"/>
    <w:rsid w:val="008831DC"/>
    <w:rsid w:val="00884CCC"/>
    <w:rsid w:val="00890238"/>
    <w:rsid w:val="0089563F"/>
    <w:rsid w:val="0089756A"/>
    <w:rsid w:val="008A23C9"/>
    <w:rsid w:val="008A6A13"/>
    <w:rsid w:val="008A7840"/>
    <w:rsid w:val="008B3A8C"/>
    <w:rsid w:val="008C0D85"/>
    <w:rsid w:val="008C5FF5"/>
    <w:rsid w:val="008D35F9"/>
    <w:rsid w:val="008D78F3"/>
    <w:rsid w:val="008F1E04"/>
    <w:rsid w:val="008F7A1D"/>
    <w:rsid w:val="0090530C"/>
    <w:rsid w:val="00924C59"/>
    <w:rsid w:val="00925DA3"/>
    <w:rsid w:val="00926BB7"/>
    <w:rsid w:val="009315D6"/>
    <w:rsid w:val="009361F6"/>
    <w:rsid w:val="00942780"/>
    <w:rsid w:val="00943B6B"/>
    <w:rsid w:val="0094640A"/>
    <w:rsid w:val="0095112D"/>
    <w:rsid w:val="00954A92"/>
    <w:rsid w:val="00957DAD"/>
    <w:rsid w:val="0096209A"/>
    <w:rsid w:val="0097091E"/>
    <w:rsid w:val="00970F0D"/>
    <w:rsid w:val="00971CB7"/>
    <w:rsid w:val="00972A41"/>
    <w:rsid w:val="00976D16"/>
    <w:rsid w:val="00986332"/>
    <w:rsid w:val="0099324D"/>
    <w:rsid w:val="009A0CC9"/>
    <w:rsid w:val="009A10BB"/>
    <w:rsid w:val="009A57D8"/>
    <w:rsid w:val="009B1DFB"/>
    <w:rsid w:val="009C7E56"/>
    <w:rsid w:val="009D3C2B"/>
    <w:rsid w:val="009E31C0"/>
    <w:rsid w:val="009E3789"/>
    <w:rsid w:val="009E7289"/>
    <w:rsid w:val="009F3DA5"/>
    <w:rsid w:val="009F5F36"/>
    <w:rsid w:val="009F7F50"/>
    <w:rsid w:val="00A071ED"/>
    <w:rsid w:val="00A12513"/>
    <w:rsid w:val="00A13D10"/>
    <w:rsid w:val="00A17812"/>
    <w:rsid w:val="00A27021"/>
    <w:rsid w:val="00A33233"/>
    <w:rsid w:val="00A3607D"/>
    <w:rsid w:val="00A44690"/>
    <w:rsid w:val="00A44D97"/>
    <w:rsid w:val="00A505FE"/>
    <w:rsid w:val="00A52031"/>
    <w:rsid w:val="00A5349A"/>
    <w:rsid w:val="00A54BCB"/>
    <w:rsid w:val="00A5761F"/>
    <w:rsid w:val="00A62E31"/>
    <w:rsid w:val="00A705C3"/>
    <w:rsid w:val="00A72302"/>
    <w:rsid w:val="00A73A07"/>
    <w:rsid w:val="00A77400"/>
    <w:rsid w:val="00A92B30"/>
    <w:rsid w:val="00AA1E1E"/>
    <w:rsid w:val="00AC59F8"/>
    <w:rsid w:val="00AE10CA"/>
    <w:rsid w:val="00AE7415"/>
    <w:rsid w:val="00B0106A"/>
    <w:rsid w:val="00B125BA"/>
    <w:rsid w:val="00B252F3"/>
    <w:rsid w:val="00B327D4"/>
    <w:rsid w:val="00B36A9F"/>
    <w:rsid w:val="00B4208F"/>
    <w:rsid w:val="00B451E1"/>
    <w:rsid w:val="00B531EE"/>
    <w:rsid w:val="00B5565D"/>
    <w:rsid w:val="00B564E4"/>
    <w:rsid w:val="00B6458D"/>
    <w:rsid w:val="00B66F5B"/>
    <w:rsid w:val="00B90A0E"/>
    <w:rsid w:val="00B93171"/>
    <w:rsid w:val="00B94359"/>
    <w:rsid w:val="00B95A8A"/>
    <w:rsid w:val="00BA5758"/>
    <w:rsid w:val="00BA5C9E"/>
    <w:rsid w:val="00BA70FD"/>
    <w:rsid w:val="00BC12F8"/>
    <w:rsid w:val="00BC764E"/>
    <w:rsid w:val="00BD3EAA"/>
    <w:rsid w:val="00BD54C0"/>
    <w:rsid w:val="00BD55D1"/>
    <w:rsid w:val="00BD5DB7"/>
    <w:rsid w:val="00BD7002"/>
    <w:rsid w:val="00BD7CB5"/>
    <w:rsid w:val="00BE4388"/>
    <w:rsid w:val="00BE7DC8"/>
    <w:rsid w:val="00C233F2"/>
    <w:rsid w:val="00C31CAD"/>
    <w:rsid w:val="00C34CC0"/>
    <w:rsid w:val="00C40336"/>
    <w:rsid w:val="00C55EAF"/>
    <w:rsid w:val="00C65A5B"/>
    <w:rsid w:val="00C76AAF"/>
    <w:rsid w:val="00C85FD6"/>
    <w:rsid w:val="00C92B50"/>
    <w:rsid w:val="00C92C84"/>
    <w:rsid w:val="00C95742"/>
    <w:rsid w:val="00C9664E"/>
    <w:rsid w:val="00CA2ED5"/>
    <w:rsid w:val="00CA3581"/>
    <w:rsid w:val="00CB265E"/>
    <w:rsid w:val="00CB5FAC"/>
    <w:rsid w:val="00CC5678"/>
    <w:rsid w:val="00CD09BC"/>
    <w:rsid w:val="00CD6D6E"/>
    <w:rsid w:val="00CE21FC"/>
    <w:rsid w:val="00CE3843"/>
    <w:rsid w:val="00CE4A58"/>
    <w:rsid w:val="00D0190D"/>
    <w:rsid w:val="00D30919"/>
    <w:rsid w:val="00D3202C"/>
    <w:rsid w:val="00D34525"/>
    <w:rsid w:val="00D43126"/>
    <w:rsid w:val="00D55175"/>
    <w:rsid w:val="00D60F0B"/>
    <w:rsid w:val="00D614A9"/>
    <w:rsid w:val="00D72E9B"/>
    <w:rsid w:val="00D80041"/>
    <w:rsid w:val="00D814C2"/>
    <w:rsid w:val="00D838A4"/>
    <w:rsid w:val="00D85449"/>
    <w:rsid w:val="00D90064"/>
    <w:rsid w:val="00D92066"/>
    <w:rsid w:val="00D94D2F"/>
    <w:rsid w:val="00D96EE2"/>
    <w:rsid w:val="00DA3894"/>
    <w:rsid w:val="00DA4963"/>
    <w:rsid w:val="00DA6837"/>
    <w:rsid w:val="00DC1663"/>
    <w:rsid w:val="00DC2E56"/>
    <w:rsid w:val="00DD2F90"/>
    <w:rsid w:val="00DD3852"/>
    <w:rsid w:val="00DD43AF"/>
    <w:rsid w:val="00DD50F3"/>
    <w:rsid w:val="00DD69C9"/>
    <w:rsid w:val="00DF22E1"/>
    <w:rsid w:val="00DF361F"/>
    <w:rsid w:val="00DF6077"/>
    <w:rsid w:val="00E06902"/>
    <w:rsid w:val="00E17D64"/>
    <w:rsid w:val="00E20F9D"/>
    <w:rsid w:val="00E4175B"/>
    <w:rsid w:val="00E43F4D"/>
    <w:rsid w:val="00E47920"/>
    <w:rsid w:val="00E62BF9"/>
    <w:rsid w:val="00E62D8A"/>
    <w:rsid w:val="00E6435A"/>
    <w:rsid w:val="00E65316"/>
    <w:rsid w:val="00E73B75"/>
    <w:rsid w:val="00E75265"/>
    <w:rsid w:val="00E81EF3"/>
    <w:rsid w:val="00E83A84"/>
    <w:rsid w:val="00E83F0B"/>
    <w:rsid w:val="00EA630E"/>
    <w:rsid w:val="00EC18DF"/>
    <w:rsid w:val="00EC6449"/>
    <w:rsid w:val="00ED00DA"/>
    <w:rsid w:val="00ED04ED"/>
    <w:rsid w:val="00ED1028"/>
    <w:rsid w:val="00EE3FC2"/>
    <w:rsid w:val="00EF4B0D"/>
    <w:rsid w:val="00EF50A7"/>
    <w:rsid w:val="00F03290"/>
    <w:rsid w:val="00F041C6"/>
    <w:rsid w:val="00F05FD8"/>
    <w:rsid w:val="00F1002B"/>
    <w:rsid w:val="00F10EA8"/>
    <w:rsid w:val="00F13A40"/>
    <w:rsid w:val="00F143DA"/>
    <w:rsid w:val="00F15068"/>
    <w:rsid w:val="00F308E1"/>
    <w:rsid w:val="00F31F01"/>
    <w:rsid w:val="00F32928"/>
    <w:rsid w:val="00F32EEA"/>
    <w:rsid w:val="00F332A0"/>
    <w:rsid w:val="00F34FD1"/>
    <w:rsid w:val="00F4193E"/>
    <w:rsid w:val="00F46D10"/>
    <w:rsid w:val="00F477D4"/>
    <w:rsid w:val="00F47C64"/>
    <w:rsid w:val="00F50EC5"/>
    <w:rsid w:val="00F636B7"/>
    <w:rsid w:val="00F85013"/>
    <w:rsid w:val="00F9048D"/>
    <w:rsid w:val="00F93F3C"/>
    <w:rsid w:val="00FA047E"/>
    <w:rsid w:val="00FA0C02"/>
    <w:rsid w:val="00FA1EC6"/>
    <w:rsid w:val="00FA3E50"/>
    <w:rsid w:val="00FB3460"/>
    <w:rsid w:val="00FB6D68"/>
    <w:rsid w:val="00FF16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2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652AB"/>
    <w:rPr>
      <w:sz w:val="18"/>
      <w:szCs w:val="18"/>
    </w:rPr>
  </w:style>
  <w:style w:type="paragraph" w:styleId="a4">
    <w:name w:val="footer"/>
    <w:basedOn w:val="a"/>
    <w:link w:val="Char0"/>
    <w:uiPriority w:val="99"/>
    <w:unhideWhenUsed/>
    <w:rsid w:val="000652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52AB"/>
    <w:rPr>
      <w:sz w:val="18"/>
      <w:szCs w:val="18"/>
    </w:rPr>
  </w:style>
  <w:style w:type="paragraph" w:customStyle="1" w:styleId="Default">
    <w:name w:val="Default"/>
    <w:rsid w:val="000652AB"/>
    <w:pPr>
      <w:widowControl w:val="0"/>
      <w:autoSpaceDE w:val="0"/>
      <w:autoSpaceDN w:val="0"/>
      <w:adjustRightInd w:val="0"/>
    </w:pPr>
    <w:rPr>
      <w:rFonts w:ascii="黑体" w:eastAsia="黑体" w:cs="黑体"/>
      <w:color w:val="000000"/>
      <w:kern w:val="0"/>
      <w:sz w:val="24"/>
      <w:szCs w:val="24"/>
    </w:rPr>
  </w:style>
  <w:style w:type="paragraph" w:customStyle="1" w:styleId="CM25">
    <w:name w:val="CM25"/>
    <w:basedOn w:val="Default"/>
    <w:next w:val="Default"/>
    <w:rsid w:val="00106394"/>
    <w:pPr>
      <w:spacing w:after="158" w:line="360" w:lineRule="auto"/>
    </w:pPr>
    <w:rPr>
      <w:rFonts w:ascii="楷体_GB2312" w:eastAsia="楷体_GB2312" w:hAnsi="Times New Roman" w:cs="楷体_GB2312"/>
      <w:color w:val="auto"/>
    </w:rPr>
  </w:style>
  <w:style w:type="character" w:styleId="a5">
    <w:name w:val="Emphasis"/>
    <w:basedOn w:val="a0"/>
    <w:uiPriority w:val="20"/>
    <w:qFormat/>
    <w:rsid w:val="00EC6449"/>
    <w:rPr>
      <w:i w:val="0"/>
      <w:iCs w:val="0"/>
      <w:color w:val="CC0000"/>
    </w:rPr>
  </w:style>
  <w:style w:type="paragraph" w:styleId="a6">
    <w:name w:val="Normal (Web)"/>
    <w:basedOn w:val="a"/>
    <w:unhideWhenUsed/>
    <w:rsid w:val="000C0E41"/>
    <w:pPr>
      <w:widowControl/>
      <w:jc w:val="left"/>
    </w:pPr>
    <w:rPr>
      <w:rFonts w:ascii="宋体" w:hAnsi="宋体" w:cs="宋体"/>
      <w:kern w:val="0"/>
      <w:sz w:val="24"/>
      <w:szCs w:val="24"/>
    </w:rPr>
  </w:style>
  <w:style w:type="character" w:styleId="a7">
    <w:name w:val="Hyperlink"/>
    <w:basedOn w:val="a0"/>
    <w:uiPriority w:val="99"/>
    <w:semiHidden/>
    <w:unhideWhenUsed/>
    <w:rsid w:val="008D35F9"/>
    <w:rPr>
      <w:strike w:val="0"/>
      <w:dstrike w:val="0"/>
      <w:color w:val="333333"/>
      <w:u w:val="none"/>
      <w:effect w:val="none"/>
      <w:shd w:val="clear" w:color="auto" w:fill="auto"/>
    </w:rPr>
  </w:style>
  <w:style w:type="paragraph" w:styleId="a8">
    <w:name w:val="Balloon Text"/>
    <w:basedOn w:val="a"/>
    <w:link w:val="Char1"/>
    <w:uiPriority w:val="99"/>
    <w:semiHidden/>
    <w:unhideWhenUsed/>
    <w:rsid w:val="00DC1663"/>
    <w:rPr>
      <w:sz w:val="18"/>
      <w:szCs w:val="18"/>
    </w:rPr>
  </w:style>
  <w:style w:type="character" w:customStyle="1" w:styleId="Char1">
    <w:name w:val="批注框文本 Char"/>
    <w:basedOn w:val="a0"/>
    <w:link w:val="a8"/>
    <w:uiPriority w:val="99"/>
    <w:semiHidden/>
    <w:rsid w:val="00DC1663"/>
    <w:rPr>
      <w:rFonts w:ascii="Times New Roman" w:eastAsia="宋体" w:hAnsi="Times New Roman" w:cs="Times New Roman"/>
      <w:sz w:val="18"/>
      <w:szCs w:val="18"/>
    </w:rPr>
  </w:style>
  <w:style w:type="paragraph" w:customStyle="1" w:styleId="CharCharCharCharCharCharCharCharCharCharCharCharCharCharChar1Char">
    <w:name w:val="Char Char Char Char Char Char Char Char Char Char Char Char Char Char Char1 Char"/>
    <w:basedOn w:val="a"/>
    <w:next w:val="a"/>
    <w:rsid w:val="008642BD"/>
    <w:pPr>
      <w:widowControl/>
      <w:spacing w:line="360" w:lineRule="auto"/>
      <w:jc w:val="left"/>
    </w:pPr>
    <w:rPr>
      <w:kern w:val="0"/>
      <w:lang w:eastAsia="en-US"/>
    </w:rPr>
  </w:style>
  <w:style w:type="paragraph" w:styleId="a9">
    <w:name w:val="List Paragraph"/>
    <w:basedOn w:val="a"/>
    <w:uiPriority w:val="34"/>
    <w:qFormat/>
    <w:rsid w:val="006E4E9D"/>
    <w:pPr>
      <w:ind w:firstLineChars="200" w:firstLine="420"/>
    </w:pPr>
    <w:rPr>
      <w:rFonts w:asciiTheme="minorHAnsi" w:eastAsiaTheme="minorEastAsia" w:hAnsiTheme="minorHAnsi" w:cstheme="minorBidi"/>
      <w:szCs w:val="22"/>
    </w:rPr>
  </w:style>
  <w:style w:type="table" w:styleId="aa">
    <w:name w:val="Table Grid"/>
    <w:basedOn w:val="a1"/>
    <w:uiPriority w:val="59"/>
    <w:rsid w:val="006E4E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9309720">
      <w:bodyDiv w:val="1"/>
      <w:marLeft w:val="0"/>
      <w:marRight w:val="0"/>
      <w:marTop w:val="0"/>
      <w:marBottom w:val="0"/>
      <w:divBdr>
        <w:top w:val="none" w:sz="0" w:space="0" w:color="auto"/>
        <w:left w:val="none" w:sz="0" w:space="0" w:color="auto"/>
        <w:bottom w:val="none" w:sz="0" w:space="0" w:color="auto"/>
        <w:right w:val="none" w:sz="0" w:space="0" w:color="auto"/>
      </w:divBdr>
    </w:div>
    <w:div w:id="1461991678">
      <w:bodyDiv w:val="1"/>
      <w:marLeft w:val="0"/>
      <w:marRight w:val="0"/>
      <w:marTop w:val="0"/>
      <w:marBottom w:val="0"/>
      <w:divBdr>
        <w:top w:val="none" w:sz="0" w:space="0" w:color="auto"/>
        <w:left w:val="none" w:sz="0" w:space="0" w:color="auto"/>
        <w:bottom w:val="none" w:sz="0" w:space="0" w:color="auto"/>
        <w:right w:val="none" w:sz="0" w:space="0" w:color="auto"/>
      </w:divBdr>
      <w:divsChild>
        <w:div w:id="1010184077">
          <w:marLeft w:val="0"/>
          <w:marRight w:val="0"/>
          <w:marTop w:val="0"/>
          <w:marBottom w:val="0"/>
          <w:divBdr>
            <w:top w:val="none" w:sz="0" w:space="0" w:color="auto"/>
            <w:left w:val="none" w:sz="0" w:space="0" w:color="auto"/>
            <w:bottom w:val="none" w:sz="0" w:space="0" w:color="auto"/>
            <w:right w:val="none" w:sz="0" w:space="0" w:color="auto"/>
          </w:divBdr>
        </w:div>
      </w:divsChild>
    </w:div>
    <w:div w:id="1473785960">
      <w:bodyDiv w:val="1"/>
      <w:marLeft w:val="0"/>
      <w:marRight w:val="0"/>
      <w:marTop w:val="0"/>
      <w:marBottom w:val="0"/>
      <w:divBdr>
        <w:top w:val="none" w:sz="0" w:space="0" w:color="auto"/>
        <w:left w:val="none" w:sz="0" w:space="0" w:color="auto"/>
        <w:bottom w:val="none" w:sz="0" w:space="0" w:color="auto"/>
        <w:right w:val="none" w:sz="0" w:space="0" w:color="auto"/>
      </w:divBdr>
      <w:divsChild>
        <w:div w:id="360858501">
          <w:marLeft w:val="0"/>
          <w:marRight w:val="0"/>
          <w:marTop w:val="125"/>
          <w:marBottom w:val="250"/>
          <w:divBdr>
            <w:top w:val="none" w:sz="0" w:space="0" w:color="auto"/>
            <w:left w:val="none" w:sz="0" w:space="0" w:color="auto"/>
            <w:bottom w:val="none" w:sz="0" w:space="0" w:color="auto"/>
            <w:right w:val="none" w:sz="0" w:space="0" w:color="auto"/>
          </w:divBdr>
          <w:divsChild>
            <w:div w:id="1677073213">
              <w:marLeft w:val="0"/>
              <w:marRight w:val="0"/>
              <w:marTop w:val="0"/>
              <w:marBottom w:val="0"/>
              <w:divBdr>
                <w:top w:val="none" w:sz="0" w:space="0" w:color="auto"/>
                <w:left w:val="none" w:sz="0" w:space="0" w:color="auto"/>
                <w:bottom w:val="none" w:sz="0" w:space="0" w:color="auto"/>
                <w:right w:val="none" w:sz="0" w:space="0" w:color="auto"/>
              </w:divBdr>
              <w:divsChild>
                <w:div w:id="74472537">
                  <w:marLeft w:val="0"/>
                  <w:marRight w:val="0"/>
                  <w:marTop w:val="0"/>
                  <w:marBottom w:val="301"/>
                  <w:divBdr>
                    <w:top w:val="none" w:sz="0" w:space="0" w:color="auto"/>
                    <w:left w:val="none" w:sz="0" w:space="0" w:color="auto"/>
                    <w:bottom w:val="none" w:sz="0" w:space="0" w:color="auto"/>
                    <w:right w:val="none" w:sz="0" w:space="0" w:color="auto"/>
                  </w:divBdr>
                </w:div>
              </w:divsChild>
            </w:div>
          </w:divsChild>
        </w:div>
      </w:divsChild>
    </w:div>
    <w:div w:id="2080472978">
      <w:bodyDiv w:val="1"/>
      <w:marLeft w:val="0"/>
      <w:marRight w:val="0"/>
      <w:marTop w:val="0"/>
      <w:marBottom w:val="0"/>
      <w:divBdr>
        <w:top w:val="none" w:sz="0" w:space="0" w:color="auto"/>
        <w:left w:val="none" w:sz="0" w:space="0" w:color="auto"/>
        <w:bottom w:val="none" w:sz="0" w:space="0" w:color="auto"/>
        <w:right w:val="none" w:sz="0" w:space="0" w:color="auto"/>
      </w:divBdr>
      <w:divsChild>
        <w:div w:id="1569341488">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sChild>
                <w:div w:id="1034386710">
                  <w:marLeft w:val="0"/>
                  <w:marRight w:val="0"/>
                  <w:marTop w:val="0"/>
                  <w:marBottom w:val="0"/>
                  <w:divBdr>
                    <w:top w:val="single" w:sz="12" w:space="0" w:color="08237A"/>
                    <w:left w:val="none" w:sz="0" w:space="0" w:color="auto"/>
                    <w:bottom w:val="none" w:sz="0" w:space="0" w:color="auto"/>
                    <w:right w:val="none" w:sz="0" w:space="0" w:color="auto"/>
                  </w:divBdr>
                  <w:divsChild>
                    <w:div w:id="2005887125">
                      <w:marLeft w:val="0"/>
                      <w:marRight w:val="0"/>
                      <w:marTop w:val="0"/>
                      <w:marBottom w:val="0"/>
                      <w:divBdr>
                        <w:top w:val="single" w:sz="2" w:space="7" w:color="BBBBBB"/>
                        <w:left w:val="single" w:sz="4" w:space="0" w:color="BBBBBB"/>
                        <w:bottom w:val="single" w:sz="4" w:space="0" w:color="BBBBBB"/>
                        <w:right w:val="single" w:sz="4" w:space="0" w:color="BBBBBB"/>
                      </w:divBdr>
                      <w:divsChild>
                        <w:div w:id="77531283">
                          <w:marLeft w:val="0"/>
                          <w:marRight w:val="0"/>
                          <w:marTop w:val="0"/>
                          <w:marBottom w:val="0"/>
                          <w:divBdr>
                            <w:top w:val="none" w:sz="0" w:space="0" w:color="auto"/>
                            <w:left w:val="none" w:sz="0" w:space="0" w:color="auto"/>
                            <w:bottom w:val="none" w:sz="0" w:space="0" w:color="auto"/>
                            <w:right w:val="none" w:sz="0" w:space="0" w:color="auto"/>
                          </w:divBdr>
                          <w:divsChild>
                            <w:div w:id="3246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4F33-4BEA-4A79-BFD0-5B03B5DF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2307</Words>
  <Characters>13152</Characters>
  <Application>Microsoft Office Word</Application>
  <DocSecurity>0</DocSecurity>
  <Lines>109</Lines>
  <Paragraphs>30</Paragraphs>
  <ScaleCrop>false</ScaleCrop>
  <Company>微软中国</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82</cp:revision>
  <cp:lastPrinted>2017-05-23T07:05:00Z</cp:lastPrinted>
  <dcterms:created xsi:type="dcterms:W3CDTF">2017-05-23T04:09:00Z</dcterms:created>
  <dcterms:modified xsi:type="dcterms:W3CDTF">2017-08-07T07:49:00Z</dcterms:modified>
</cp:coreProperties>
</file>